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52"/>
          <w:highlight w:val="none"/>
          <w:lang w:eastAsia="zh-CN"/>
        </w:rPr>
      </w:pPr>
    </w:p>
    <w:p>
      <w:pPr>
        <w:spacing w:line="360" w:lineRule="auto"/>
        <w:jc w:val="center"/>
        <w:rPr>
          <w:rFonts w:hint="eastAsia" w:ascii="宋体" w:hAnsi="宋体" w:eastAsia="宋体" w:cs="宋体"/>
          <w:b/>
          <w:color w:val="auto"/>
          <w:sz w:val="52"/>
          <w:highlight w:val="none"/>
          <w:lang w:val="en-US" w:eastAsia="zh-CN"/>
        </w:rPr>
      </w:pPr>
      <w:r>
        <w:rPr>
          <w:rFonts w:hint="eastAsia" w:ascii="宋体" w:hAnsi="宋体" w:eastAsia="宋体" w:cs="宋体"/>
          <w:b/>
          <w:color w:val="auto"/>
          <w:sz w:val="52"/>
          <w:highlight w:val="none"/>
          <w:lang w:val="en-US" w:eastAsia="zh-CN"/>
        </w:rPr>
        <w:t>吉林省消防救援总队“自然灾害应急能力提升工程”装备配备项目</w:t>
      </w:r>
    </w:p>
    <w:p>
      <w:pPr>
        <w:spacing w:line="360" w:lineRule="auto"/>
        <w:jc w:val="center"/>
        <w:rPr>
          <w:rFonts w:hint="eastAsia" w:ascii="宋体" w:hAnsi="宋体" w:eastAsia="宋体" w:cs="宋体"/>
          <w:b/>
          <w:color w:val="auto"/>
          <w:sz w:val="52"/>
          <w:highlight w:val="none"/>
        </w:rPr>
      </w:pPr>
      <w:r>
        <w:rPr>
          <w:rFonts w:hint="eastAsia" w:ascii="宋体" w:hAnsi="宋体" w:eastAsia="宋体" w:cs="宋体"/>
          <w:b/>
          <w:color w:val="auto"/>
          <w:sz w:val="52"/>
          <w:highlight w:val="none"/>
          <w:lang w:val="en-US" w:eastAsia="zh-CN"/>
        </w:rPr>
        <w:t>（防护攻坚装备）</w:t>
      </w:r>
    </w:p>
    <w:p>
      <w:pPr>
        <w:pStyle w:val="10"/>
        <w:spacing w:line="360" w:lineRule="auto"/>
        <w:jc w:val="center"/>
        <w:outlineLvl w:val="0"/>
        <w:rPr>
          <w:rFonts w:hint="eastAsia" w:ascii="宋体" w:hAnsi="宋体" w:eastAsia="宋体" w:cs="宋体"/>
          <w:b/>
          <w:color w:val="auto"/>
          <w:kern w:val="2"/>
          <w:sz w:val="52"/>
          <w:szCs w:val="24"/>
          <w:highlight w:val="none"/>
          <w:lang w:val="en-US" w:eastAsia="zh-CN" w:bidi="ar-SA"/>
        </w:rPr>
      </w:pPr>
      <w:bookmarkStart w:id="0" w:name="_Toc258"/>
      <w:r>
        <w:rPr>
          <w:rFonts w:hint="eastAsia" w:ascii="宋体" w:hAnsi="宋体" w:eastAsia="宋体" w:cs="宋体"/>
          <w:b/>
          <w:color w:val="auto"/>
          <w:kern w:val="2"/>
          <w:sz w:val="52"/>
          <w:szCs w:val="24"/>
          <w:highlight w:val="none"/>
          <w:lang w:val="en-US" w:eastAsia="zh-CN" w:bidi="ar-SA"/>
        </w:rPr>
        <w:t xml:space="preserve">第二十九标段 </w:t>
      </w:r>
      <w:bookmarkEnd w:id="0"/>
      <w:r>
        <w:rPr>
          <w:rFonts w:hint="eastAsia" w:ascii="宋体" w:hAnsi="宋体" w:eastAsia="宋体" w:cs="宋体"/>
          <w:b/>
          <w:color w:val="auto"/>
          <w:kern w:val="2"/>
          <w:sz w:val="52"/>
          <w:szCs w:val="24"/>
          <w:highlight w:val="none"/>
          <w:lang w:val="en-US" w:eastAsia="zh-CN" w:bidi="ar-SA"/>
        </w:rPr>
        <w:t xml:space="preserve"> </w:t>
      </w:r>
    </w:p>
    <w:p>
      <w:pPr>
        <w:pStyle w:val="10"/>
        <w:rPr>
          <w:rFonts w:hint="eastAsia" w:ascii="宋体" w:hAnsi="宋体" w:eastAsia="宋体" w:cs="宋体"/>
          <w:color w:val="auto"/>
          <w:highlight w:val="none"/>
        </w:rPr>
      </w:pPr>
    </w:p>
    <w:p>
      <w:pPr>
        <w:pStyle w:val="10"/>
        <w:rPr>
          <w:rFonts w:hint="eastAsia" w:ascii="宋体" w:hAnsi="宋体" w:eastAsia="宋体" w:cs="宋体"/>
          <w:b/>
          <w:color w:val="auto"/>
          <w:sz w:val="52"/>
          <w:szCs w:val="52"/>
          <w:highlight w:val="none"/>
        </w:rPr>
      </w:pPr>
    </w:p>
    <w:p>
      <w:pPr>
        <w:pStyle w:val="10"/>
        <w:rPr>
          <w:rFonts w:hint="eastAsia" w:ascii="宋体" w:hAnsi="宋体" w:eastAsia="宋体" w:cs="宋体"/>
          <w:b/>
          <w:color w:val="auto"/>
          <w:sz w:val="52"/>
          <w:szCs w:val="52"/>
          <w:highlight w:val="none"/>
        </w:rPr>
      </w:pPr>
    </w:p>
    <w:p>
      <w:pPr>
        <w:jc w:val="center"/>
        <w:rPr>
          <w:rFonts w:hint="eastAsia" w:ascii="宋体" w:hAnsi="宋体" w:eastAsia="宋体" w:cs="宋体"/>
          <w:color w:val="auto"/>
          <w:spacing w:val="48"/>
          <w:sz w:val="48"/>
          <w:highlight w:val="none"/>
        </w:rPr>
      </w:pPr>
      <w:r>
        <w:rPr>
          <w:rFonts w:hint="eastAsia" w:ascii="宋体" w:hAnsi="宋体" w:eastAsia="宋体" w:cs="宋体"/>
          <w:b/>
          <w:color w:val="auto"/>
          <w:spacing w:val="48"/>
          <w:sz w:val="72"/>
          <w:szCs w:val="72"/>
          <w:highlight w:val="none"/>
        </w:rPr>
        <w:t>招标文件</w:t>
      </w:r>
    </w:p>
    <w:p>
      <w:pPr>
        <w:spacing w:before="100"/>
        <w:jc w:val="center"/>
        <w:rPr>
          <w:rFonts w:hint="default" w:ascii="宋体" w:hAnsi="宋体" w:eastAsia="宋体" w:cs="宋体"/>
          <w:b/>
          <w:color w:val="auto"/>
          <w:sz w:val="30"/>
          <w:highlight w:val="none"/>
          <w:lang w:val="en-US" w:eastAsia="zh-CN"/>
        </w:rPr>
      </w:pPr>
      <w:r>
        <w:rPr>
          <w:rFonts w:hint="eastAsia" w:ascii="宋体" w:hAnsi="宋体" w:eastAsia="宋体" w:cs="宋体"/>
          <w:b/>
          <w:color w:val="auto"/>
          <w:sz w:val="30"/>
          <w:highlight w:val="none"/>
        </w:rPr>
        <w:t>项目编号：ZYGJ-CZHW-2436</w:t>
      </w:r>
      <w:r>
        <w:rPr>
          <w:rFonts w:hint="eastAsia" w:ascii="宋体" w:hAnsi="宋体" w:eastAsia="宋体" w:cs="宋体"/>
          <w:b/>
          <w:color w:val="auto"/>
          <w:sz w:val="30"/>
          <w:highlight w:val="none"/>
          <w:lang w:val="en-US" w:eastAsia="zh-CN"/>
        </w:rPr>
        <w:t>-</w:t>
      </w:r>
      <w:r>
        <w:rPr>
          <w:rFonts w:hint="eastAsia" w:ascii="宋体" w:hAnsi="宋体" w:cs="宋体"/>
          <w:b/>
          <w:color w:val="auto"/>
          <w:sz w:val="30"/>
          <w:highlight w:val="none"/>
          <w:lang w:val="en-US" w:eastAsia="zh-CN"/>
        </w:rPr>
        <w:t>29</w:t>
      </w:r>
    </w:p>
    <w:p>
      <w:pPr>
        <w:spacing w:before="100"/>
        <w:ind w:firstLine="2988" w:firstLineChars="992"/>
        <w:rPr>
          <w:rFonts w:hint="eastAsia" w:ascii="宋体" w:hAnsi="宋体" w:eastAsia="宋体" w:cs="宋体"/>
          <w:b/>
          <w:color w:val="auto"/>
          <w:sz w:val="30"/>
          <w:highlight w:val="none"/>
        </w:rPr>
      </w:pPr>
    </w:p>
    <w:p>
      <w:pPr>
        <w:spacing w:before="100"/>
        <w:ind w:firstLine="2235"/>
        <w:rPr>
          <w:rFonts w:hint="eastAsia" w:ascii="宋体" w:hAnsi="宋体" w:eastAsia="宋体" w:cs="宋体"/>
          <w:b/>
          <w:color w:val="auto"/>
          <w:sz w:val="32"/>
          <w:highlight w:val="none"/>
        </w:rPr>
      </w:pPr>
    </w:p>
    <w:p>
      <w:pPr>
        <w:spacing w:before="100"/>
        <w:rPr>
          <w:rFonts w:hint="eastAsia" w:ascii="宋体" w:hAnsi="宋体" w:eastAsia="宋体" w:cs="宋体"/>
          <w:b/>
          <w:color w:val="auto"/>
          <w:sz w:val="32"/>
          <w:highlight w:val="none"/>
        </w:rPr>
      </w:pPr>
    </w:p>
    <w:p>
      <w:pPr>
        <w:spacing w:before="100"/>
        <w:ind w:firstLine="2235"/>
        <w:rPr>
          <w:rFonts w:hint="eastAsia" w:ascii="宋体" w:hAnsi="宋体" w:eastAsia="宋体" w:cs="宋体"/>
          <w:b/>
          <w:color w:val="auto"/>
          <w:sz w:val="32"/>
          <w:highlight w:val="none"/>
        </w:rPr>
      </w:pPr>
    </w:p>
    <w:p>
      <w:pPr>
        <w:pStyle w:val="6"/>
        <w:outlineLvl w:val="9"/>
        <w:rPr>
          <w:rFonts w:hint="eastAsia" w:ascii="宋体" w:hAnsi="宋体" w:eastAsia="宋体" w:cs="宋体"/>
          <w:color w:val="auto"/>
          <w:highlight w:val="none"/>
        </w:rPr>
      </w:pPr>
    </w:p>
    <w:p>
      <w:pPr>
        <w:spacing w:before="100"/>
        <w:ind w:firstLine="2249" w:firstLineChars="700"/>
        <w:rPr>
          <w:rFonts w:hint="eastAsia" w:ascii="宋体" w:hAnsi="宋体" w:eastAsia="宋体" w:cs="宋体"/>
          <w:b/>
          <w:color w:val="auto"/>
          <w:sz w:val="32"/>
          <w:highlight w:val="none"/>
        </w:rPr>
      </w:pPr>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人：吉林省消防救援总队</w:t>
      </w:r>
    </w:p>
    <w:p>
      <w:pPr>
        <w:spacing w:before="100"/>
        <w:jc w:val="center"/>
        <w:rPr>
          <w:rFonts w:hint="eastAsia" w:ascii="宋体" w:hAnsi="宋体" w:eastAsia="宋体" w:cs="宋体"/>
          <w:b/>
          <w:color w:val="auto"/>
          <w:sz w:val="32"/>
          <w:highlight w:val="none"/>
        </w:rPr>
      </w:pPr>
    </w:p>
    <w:p>
      <w:pPr>
        <w:spacing w:before="100"/>
        <w:jc w:val="center"/>
        <w:outlineLvl w:val="0"/>
        <w:rPr>
          <w:rFonts w:hint="eastAsia" w:ascii="宋体" w:hAnsi="宋体" w:eastAsia="宋体" w:cs="宋体"/>
          <w:b/>
          <w:i/>
          <w:iCs/>
          <w:color w:val="auto"/>
          <w:sz w:val="32"/>
          <w:highlight w:val="none"/>
        </w:rPr>
      </w:pPr>
      <w:r>
        <w:rPr>
          <w:rFonts w:hint="eastAsia" w:ascii="宋体" w:hAnsi="宋体" w:eastAsia="宋体" w:cs="宋体"/>
          <w:b/>
          <w:color w:val="auto"/>
          <w:sz w:val="32"/>
          <w:highlight w:val="none"/>
        </w:rPr>
        <w:t xml:space="preserve">        </w:t>
      </w:r>
      <w:bookmarkStart w:id="1" w:name="_Toc31787"/>
      <w:bookmarkStart w:id="2" w:name="_Toc8474"/>
      <w:bookmarkStart w:id="3" w:name="_Toc17385"/>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代理机构：中峪国际项目管理有限公司</w:t>
      </w:r>
      <w:bookmarkEnd w:id="1"/>
      <w:bookmarkEnd w:id="2"/>
      <w:bookmarkEnd w:id="3"/>
      <w:r>
        <w:rPr>
          <w:rFonts w:hint="eastAsia" w:ascii="宋体" w:hAnsi="宋体" w:eastAsia="宋体" w:cs="宋体"/>
          <w:b/>
          <w:color w:val="auto"/>
          <w:sz w:val="32"/>
          <w:highlight w:val="none"/>
        </w:rPr>
        <w:t xml:space="preserve">  </w:t>
      </w:r>
    </w:p>
    <w:p>
      <w:pPr>
        <w:spacing w:before="100"/>
        <w:jc w:val="center"/>
        <w:rPr>
          <w:rFonts w:hint="eastAsia" w:ascii="宋体" w:hAnsi="宋体" w:eastAsia="宋体" w:cs="宋体"/>
          <w:b/>
          <w:i/>
          <w:iCs/>
          <w:color w:val="auto"/>
          <w:sz w:val="32"/>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二零二</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年</w:t>
      </w:r>
      <w:r>
        <w:rPr>
          <w:rFonts w:hint="eastAsia" w:ascii="宋体" w:hAnsi="宋体" w:cs="宋体"/>
          <w:b/>
          <w:color w:val="auto"/>
          <w:sz w:val="32"/>
          <w:highlight w:val="none"/>
          <w:lang w:val="en-US" w:eastAsia="zh-CN"/>
        </w:rPr>
        <w:t>四</w:t>
      </w:r>
      <w:r>
        <w:rPr>
          <w:rFonts w:hint="eastAsia" w:ascii="宋体" w:hAnsi="宋体" w:eastAsia="宋体" w:cs="宋体"/>
          <w:b/>
          <w:color w:val="auto"/>
          <w:sz w:val="32"/>
          <w:highlight w:val="none"/>
        </w:rPr>
        <w:t>月</w:t>
      </w:r>
    </w:p>
    <w:p>
      <w:pPr>
        <w:widowControl/>
        <w:jc w:val="left"/>
        <w:rPr>
          <w:rFonts w:hint="eastAsia" w:ascii="宋体" w:hAnsi="宋体" w:eastAsia="宋体" w:cs="宋体"/>
          <w:color w:val="auto"/>
          <w:highlight w:val="none"/>
        </w:rPr>
      </w:pPr>
    </w:p>
    <w:p>
      <w:pPr>
        <w:spacing w:line="360" w:lineRule="auto"/>
        <w:rPr>
          <w:rFonts w:hint="eastAsia" w:ascii="宋体" w:hAnsi="宋体" w:eastAsia="宋体" w:cs="宋体"/>
          <w:b/>
          <w:color w:val="auto"/>
          <w:kern w:val="0"/>
          <w:sz w:val="28"/>
          <w:szCs w:val="28"/>
          <w:highlight w:val="none"/>
        </w:rPr>
        <w:sectPr>
          <w:footerReference r:id="rId3" w:type="even"/>
          <w:pgSz w:w="11906" w:h="16838"/>
          <w:pgMar w:top="1361" w:right="1304" w:bottom="1247" w:left="1304" w:header="680" w:footer="680" w:gutter="0"/>
          <w:cols w:space="720" w:num="1"/>
          <w:docGrid w:linePitch="312" w:charSpace="0"/>
        </w:sectPr>
      </w:pPr>
      <w:bookmarkStart w:id="4" w:name="OLE_LINK4"/>
    </w:p>
    <w:p>
      <w:pPr>
        <w:spacing w:line="360" w:lineRule="auto"/>
        <w:rPr>
          <w:rFonts w:hint="eastAsia" w:ascii="宋体" w:hAnsi="宋体" w:eastAsia="宋体" w:cs="宋体"/>
          <w:b/>
          <w:color w:val="auto"/>
          <w:kern w:val="0"/>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b/>
          <w:color w:val="auto"/>
          <w:kern w:val="0"/>
          <w:sz w:val="44"/>
          <w:szCs w:val="44"/>
          <w:highlight w:val="none"/>
        </w:rPr>
        <w:t>目</w:t>
      </w:r>
      <w:r>
        <w:rPr>
          <w:rFonts w:hint="eastAsia" w:ascii="宋体" w:hAnsi="宋体" w:eastAsia="宋体" w:cs="宋体"/>
          <w:b/>
          <w:color w:val="auto"/>
          <w:kern w:val="0"/>
          <w:sz w:val="44"/>
          <w:szCs w:val="44"/>
          <w:highlight w:val="none"/>
          <w:lang w:val="en-US" w:eastAsia="zh-CN"/>
        </w:rPr>
        <w:t xml:space="preserve">  </w:t>
      </w:r>
      <w:r>
        <w:rPr>
          <w:rFonts w:hint="eastAsia" w:ascii="宋体" w:hAnsi="宋体" w:eastAsia="宋体" w:cs="宋体"/>
          <w:b/>
          <w:color w:val="auto"/>
          <w:kern w:val="0"/>
          <w:sz w:val="44"/>
          <w:szCs w:val="44"/>
          <w:highlight w:val="none"/>
        </w:rPr>
        <w:t>录</w:t>
      </w:r>
    </w:p>
    <w:bookmarkEnd w:id="4"/>
    <w:sdt>
      <w:sdtPr>
        <w:rPr>
          <w:rFonts w:hint="eastAsia" w:ascii="宋体" w:hAnsi="宋体" w:eastAsia="宋体" w:cs="宋体"/>
          <w:color w:val="auto"/>
          <w:kern w:val="2"/>
          <w:sz w:val="21"/>
          <w:szCs w:val="24"/>
          <w:highlight w:val="none"/>
          <w:lang w:val="en-US" w:eastAsia="zh-CN" w:bidi="ar-SA"/>
        </w:rPr>
        <w:id w:val="147476640"/>
        <w15:color w:val="DBDBDB"/>
        <w:docPartObj>
          <w:docPartGallery w:val="Table of Contents"/>
          <w:docPartUnique/>
        </w:docPartObj>
      </w:sdtPr>
      <w:sdtEndPr>
        <w:rPr>
          <w:rFonts w:hint="eastAsia" w:ascii="宋体" w:hAnsi="宋体" w:eastAsia="宋体" w:cs="宋体"/>
          <w:color w:val="auto"/>
          <w:kern w:val="0"/>
          <w:sz w:val="21"/>
          <w:szCs w:val="44"/>
          <w:highlight w:val="none"/>
          <w:lang w:val="en-US" w:eastAsia="zh-CN" w:bidi="ar-SA"/>
        </w:rPr>
      </w:sdtEndPr>
      <w:sdtContent>
        <w:p>
          <w:pPr>
            <w:pStyle w:val="48"/>
            <w:tabs>
              <w:tab w:val="right" w:leader="dot" w:pos="9298"/>
            </w:tabs>
            <w:rPr>
              <w:rFonts w:hint="eastAsia" w:ascii="宋体" w:hAnsi="宋体" w:eastAsia="宋体" w:cs="宋体"/>
              <w:color w:val="auto"/>
              <w:highlight w:val="none"/>
            </w:rPr>
          </w:pPr>
          <w:r>
            <w:rPr>
              <w:rFonts w:hint="eastAsia" w:ascii="宋体" w:hAnsi="宋体" w:eastAsia="宋体" w:cs="宋体"/>
              <w:b/>
              <w:color w:val="auto"/>
              <w:kern w:val="0"/>
              <w:sz w:val="44"/>
              <w:szCs w:val="44"/>
              <w:highlight w:val="none"/>
            </w:rPr>
            <w:fldChar w:fldCharType="begin"/>
          </w:r>
          <w:r>
            <w:rPr>
              <w:rFonts w:hint="eastAsia" w:ascii="宋体" w:hAnsi="宋体" w:eastAsia="宋体" w:cs="宋体"/>
              <w:b/>
              <w:color w:val="auto"/>
              <w:kern w:val="0"/>
              <w:sz w:val="44"/>
              <w:szCs w:val="44"/>
              <w:highlight w:val="none"/>
            </w:rPr>
            <w:instrText xml:space="preserve">TOC \o "1-1" \h \u </w:instrText>
          </w:r>
          <w:r>
            <w:rPr>
              <w:rFonts w:hint="eastAsia" w:ascii="宋体" w:hAnsi="宋体" w:eastAsia="宋体" w:cs="宋体"/>
              <w:b/>
              <w:color w:val="auto"/>
              <w:kern w:val="0"/>
              <w:sz w:val="44"/>
              <w:szCs w:val="44"/>
              <w:highlight w:val="none"/>
            </w:rPr>
            <w:fldChar w:fldCharType="separate"/>
          </w:r>
        </w:p>
        <w:p>
          <w:pPr>
            <w:pStyle w:val="48"/>
            <w:tabs>
              <w:tab w:val="right" w:leader="dot" w:pos="9298"/>
            </w:tabs>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color w:val="auto"/>
              <w:kern w:val="0"/>
              <w:sz w:val="28"/>
              <w:szCs w:val="28"/>
              <w:highlight w:val="none"/>
            </w:rPr>
            <w:instrText xml:space="preserve"> HYPERLINK \l _Toc5103 </w:instrText>
          </w:r>
          <w:r>
            <w:rPr>
              <w:rFonts w:hint="eastAsia" w:ascii="宋体" w:hAnsi="宋体" w:eastAsia="宋体" w:cs="宋体"/>
              <w:color w:val="auto"/>
              <w:kern w:val="0"/>
              <w:sz w:val="28"/>
              <w:szCs w:val="28"/>
              <w:highlight w:val="none"/>
            </w:rPr>
            <w:fldChar w:fldCharType="separate"/>
          </w:r>
          <w:r>
            <w:rPr>
              <w:rFonts w:hint="eastAsia" w:ascii="宋体" w:hAnsi="宋体" w:eastAsia="宋体" w:cs="宋体"/>
              <w:color w:val="auto"/>
              <w:sz w:val="28"/>
              <w:szCs w:val="28"/>
              <w:highlight w:val="none"/>
            </w:rPr>
            <w:t>第一章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招标公告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_Toc5103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color w:val="auto"/>
              <w:kern w:val="0"/>
              <w:sz w:val="28"/>
              <w:szCs w:val="28"/>
              <w:highlight w:val="none"/>
            </w:rPr>
            <w:instrText xml:space="preserve"> HYPERLINK \l _Toc32539 </w:instrText>
          </w:r>
          <w:r>
            <w:rPr>
              <w:rFonts w:hint="eastAsia" w:ascii="宋体" w:hAnsi="宋体" w:eastAsia="宋体" w:cs="宋体"/>
              <w:color w:val="auto"/>
              <w:kern w:val="0"/>
              <w:sz w:val="28"/>
              <w:szCs w:val="28"/>
              <w:highlight w:val="none"/>
            </w:rPr>
            <w:fldChar w:fldCharType="separate"/>
          </w:r>
          <w:r>
            <w:rPr>
              <w:rFonts w:hint="eastAsia" w:ascii="宋体" w:hAnsi="宋体" w:eastAsia="宋体" w:cs="宋体"/>
              <w:color w:val="auto"/>
              <w:sz w:val="28"/>
              <w:szCs w:val="28"/>
              <w:highlight w:val="none"/>
            </w:rPr>
            <w:t>第二章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投标人须知</w:t>
          </w:r>
          <w:r>
            <w:rPr>
              <w:rFonts w:hint="eastAsia" w:ascii="宋体" w:hAnsi="宋体" w:eastAsia="宋体" w:cs="宋体"/>
              <w:color w:val="auto"/>
              <w:sz w:val="28"/>
              <w:szCs w:val="28"/>
              <w:highlight w:val="none"/>
              <w:lang w:eastAsia="zh-CN"/>
            </w:rPr>
            <w:t>前附表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_Toc32539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color w:val="auto"/>
              <w:kern w:val="0"/>
              <w:sz w:val="28"/>
              <w:szCs w:val="28"/>
              <w:highlight w:val="none"/>
            </w:rPr>
            <w:instrText xml:space="preserve"> HYPERLINK \l _Toc28515 </w:instrText>
          </w:r>
          <w:r>
            <w:rPr>
              <w:rFonts w:hint="eastAsia" w:ascii="宋体" w:hAnsi="宋体" w:eastAsia="宋体" w:cs="宋体"/>
              <w:color w:val="auto"/>
              <w:kern w:val="0"/>
              <w:sz w:val="28"/>
              <w:szCs w:val="28"/>
              <w:highlight w:val="none"/>
            </w:rPr>
            <w:fldChar w:fldCharType="separate"/>
          </w:r>
          <w:r>
            <w:rPr>
              <w:rFonts w:hint="eastAsia" w:ascii="宋体" w:hAnsi="宋体" w:eastAsia="宋体" w:cs="宋体"/>
              <w:color w:val="auto"/>
              <w:sz w:val="28"/>
              <w:szCs w:val="28"/>
              <w:highlight w:val="none"/>
            </w:rPr>
            <w:t>第三章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评标办法</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_Toc28515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25</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color w:val="auto"/>
              <w:kern w:val="0"/>
              <w:sz w:val="28"/>
              <w:szCs w:val="28"/>
              <w:highlight w:val="none"/>
            </w:rPr>
            <w:instrText xml:space="preserve"> HYPERLINK \l _Toc32413 </w:instrText>
          </w:r>
          <w:r>
            <w:rPr>
              <w:rFonts w:hint="eastAsia" w:ascii="宋体" w:hAnsi="宋体" w:eastAsia="宋体" w:cs="宋体"/>
              <w:color w:val="auto"/>
              <w:kern w:val="0"/>
              <w:sz w:val="28"/>
              <w:szCs w:val="28"/>
              <w:highlight w:val="none"/>
            </w:rPr>
            <w:fldChar w:fldCharType="separate"/>
          </w:r>
          <w:r>
            <w:rPr>
              <w:rFonts w:hint="eastAsia" w:ascii="宋体" w:hAnsi="宋体" w:eastAsia="宋体" w:cs="宋体"/>
              <w:color w:val="auto"/>
              <w:sz w:val="28"/>
              <w:szCs w:val="28"/>
              <w:highlight w:val="none"/>
            </w:rPr>
            <w:t>第四章 合同条款（参考格式）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_Toc32413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color w:val="auto"/>
              <w:kern w:val="0"/>
              <w:sz w:val="28"/>
              <w:szCs w:val="28"/>
              <w:highlight w:val="none"/>
            </w:rPr>
            <w:instrText xml:space="preserve"> HYPERLINK \l _Toc9767 </w:instrText>
          </w:r>
          <w:r>
            <w:rPr>
              <w:rFonts w:hint="eastAsia" w:ascii="宋体" w:hAnsi="宋体" w:eastAsia="宋体" w:cs="宋体"/>
              <w:color w:val="auto"/>
              <w:kern w:val="0"/>
              <w:sz w:val="28"/>
              <w:szCs w:val="28"/>
              <w:highlight w:val="none"/>
            </w:rPr>
            <w:fldChar w:fldCharType="separate"/>
          </w:r>
          <w:r>
            <w:rPr>
              <w:rFonts w:hint="eastAsia" w:ascii="宋体" w:hAnsi="宋体" w:eastAsia="宋体" w:cs="宋体"/>
              <w:color w:val="auto"/>
              <w:sz w:val="28"/>
              <w:szCs w:val="28"/>
              <w:highlight w:val="none"/>
            </w:rPr>
            <w:t>第五章 技术需求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_Toc9767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49</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color w:val="auto"/>
              <w:kern w:val="0"/>
              <w:sz w:val="28"/>
              <w:szCs w:val="28"/>
              <w:highlight w:val="none"/>
            </w:rPr>
            <w:instrText xml:space="preserve"> HYPERLINK \l _Toc32331 </w:instrText>
          </w:r>
          <w:r>
            <w:rPr>
              <w:rFonts w:hint="eastAsia" w:ascii="宋体" w:hAnsi="宋体" w:eastAsia="宋体" w:cs="宋体"/>
              <w:color w:val="auto"/>
              <w:kern w:val="0"/>
              <w:sz w:val="28"/>
              <w:szCs w:val="28"/>
              <w:highlight w:val="none"/>
            </w:rPr>
            <w:fldChar w:fldCharType="separate"/>
          </w:r>
          <w:r>
            <w:rPr>
              <w:rFonts w:hint="eastAsia" w:ascii="宋体" w:hAnsi="宋体" w:eastAsia="宋体" w:cs="宋体"/>
              <w:color w:val="auto"/>
              <w:sz w:val="28"/>
              <w:szCs w:val="28"/>
              <w:highlight w:val="none"/>
            </w:rPr>
            <w:t>第六章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投标文件构成及格式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_Toc32331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49</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color w:val="auto"/>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color w:val="auto"/>
              <w:kern w:val="0"/>
              <w:szCs w:val="44"/>
              <w:highlight w:val="none"/>
            </w:rPr>
            <w:fldChar w:fldCharType="end"/>
          </w:r>
        </w:p>
      </w:sdtContent>
    </w:sdt>
    <w:p>
      <w:pPr>
        <w:spacing w:line="360" w:lineRule="auto"/>
        <w:ind w:firstLine="622" w:firstLineChars="295"/>
        <w:rPr>
          <w:rFonts w:hint="eastAsia" w:ascii="宋体" w:hAnsi="宋体" w:eastAsia="宋体" w:cs="宋体"/>
          <w:b/>
          <w:color w:val="auto"/>
          <w:highlight w:val="none"/>
        </w:rPr>
      </w:pPr>
    </w:p>
    <w:p>
      <w:pPr>
        <w:spacing w:line="640" w:lineRule="exact"/>
        <w:rPr>
          <w:rFonts w:hint="eastAsia" w:ascii="宋体" w:hAnsi="宋体" w:eastAsia="宋体" w:cs="宋体"/>
          <w:b/>
          <w:color w:val="auto"/>
          <w:sz w:val="44"/>
          <w:szCs w:val="44"/>
          <w:highlight w:val="none"/>
        </w:rPr>
      </w:pPr>
    </w:p>
    <w:p>
      <w:pPr>
        <w:spacing w:line="360" w:lineRule="auto"/>
        <w:ind w:firstLine="2667" w:firstLineChars="738"/>
        <w:rPr>
          <w:rFonts w:hint="eastAsia" w:ascii="宋体" w:hAnsi="宋体" w:eastAsia="宋体" w:cs="宋体"/>
          <w:b/>
          <w:color w:val="auto"/>
          <w:sz w:val="36"/>
          <w:szCs w:val="36"/>
          <w:highlight w:val="none"/>
        </w:rPr>
        <w:sectPr>
          <w:footerReference r:id="rId4" w:type="default"/>
          <w:pgSz w:w="11906" w:h="16838"/>
          <w:pgMar w:top="1361" w:right="1304" w:bottom="1247" w:left="1304" w:header="680" w:footer="680" w:gutter="0"/>
          <w:pgNumType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ascii="黑体" w:eastAsia="黑体"/>
          <w:b/>
          <w:color w:val="auto"/>
          <w:sz w:val="36"/>
          <w:szCs w:val="36"/>
          <w:highlight w:val="none"/>
        </w:rPr>
      </w:pPr>
      <w:bookmarkStart w:id="5" w:name="_Toc5103"/>
      <w:r>
        <w:rPr>
          <w:rFonts w:hint="eastAsia" w:ascii="宋体" w:hAnsi="宋体" w:eastAsia="宋体" w:cs="宋体"/>
          <w:b/>
          <w:color w:val="auto"/>
          <w:sz w:val="36"/>
          <w:szCs w:val="36"/>
          <w:highlight w:val="none"/>
        </w:rPr>
        <w:t>第一章</w:t>
      </w:r>
      <w:r>
        <w:rPr>
          <w:rFonts w:hint="eastAsia" w:ascii="宋体" w:hAnsi="宋体" w:eastAsia="宋体" w:cs="宋体"/>
          <w:b/>
          <w:color w:val="auto"/>
          <w:sz w:val="36"/>
          <w:szCs w:val="36"/>
          <w:highlight w:val="none"/>
          <w:lang w:val="en-US" w:eastAsia="zh-CN"/>
        </w:rPr>
        <w:t xml:space="preserve"> </w:t>
      </w:r>
      <w:bookmarkEnd w:id="5"/>
      <w:r>
        <w:rPr>
          <w:rFonts w:hint="eastAsia" w:ascii="黑体" w:eastAsia="黑体"/>
          <w:b/>
          <w:color w:val="auto"/>
          <w:sz w:val="36"/>
          <w:szCs w:val="36"/>
          <w:highlight w:val="none"/>
        </w:rPr>
        <w:t>招标公告</w:t>
      </w:r>
    </w:p>
    <w:p>
      <w:pPr>
        <w:spacing w:line="360" w:lineRule="auto"/>
        <w:rPr>
          <w:rFonts w:ascii="仿宋_GB2312" w:hAnsi="宋体" w:eastAsia="仿宋_GB2312"/>
          <w:color w:val="auto"/>
          <w:sz w:val="24"/>
          <w:highlight w:val="none"/>
        </w:rPr>
      </w:pPr>
    </w:p>
    <w:tbl>
      <w:tblPr>
        <w:tblStyle w:val="25"/>
        <w:tblW w:w="9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trPr>
        <w:tc>
          <w:tcPr>
            <w:tcW w:w="9920" w:type="dxa"/>
          </w:tcPr>
          <w:p>
            <w:pPr>
              <w:spacing w:line="360" w:lineRule="auto"/>
              <w:rPr>
                <w:rFonts w:ascii="宋体" w:hAnsi="宋体" w:cs="宋体"/>
                <w:color w:val="auto"/>
                <w:sz w:val="24"/>
                <w:highlight w:val="none"/>
              </w:rPr>
            </w:pPr>
            <w:r>
              <w:rPr>
                <w:rFonts w:hint="eastAsia" w:ascii="宋体" w:hAnsi="宋体" w:cs="宋体"/>
                <w:color w:val="auto"/>
                <w:sz w:val="24"/>
                <w:highlight w:val="none"/>
              </w:rPr>
              <w:t>项目概况</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吉林省消防救援总队“自然灾害应急能力提升工程”装备配备项目（防护攻坚装备），潜在投标人应按照</w:t>
            </w:r>
            <w:r>
              <w:rPr>
                <w:rFonts w:hint="eastAsia" w:ascii="宋体" w:hAnsi="宋体" w:cs="宋体"/>
                <w:color w:val="auto"/>
                <w:sz w:val="24"/>
                <w:highlight w:val="none"/>
                <w:lang w:val="en-US" w:eastAsia="zh-CN"/>
              </w:rPr>
              <w:t>招标</w:t>
            </w:r>
            <w:r>
              <w:rPr>
                <w:rFonts w:hint="eastAsia" w:ascii="宋体" w:hAnsi="宋体" w:cs="宋体"/>
                <w:color w:val="auto"/>
                <w:sz w:val="24"/>
                <w:highlight w:val="none"/>
              </w:rPr>
              <w:t>公告内容及方式获取</w:t>
            </w:r>
            <w:r>
              <w:rPr>
                <w:rFonts w:hint="eastAsia" w:ascii="宋体" w:hAnsi="宋体" w:cs="宋体"/>
                <w:color w:val="auto"/>
                <w:sz w:val="24"/>
                <w:highlight w:val="none"/>
                <w:lang w:val="en-US" w:eastAsia="zh-CN"/>
              </w:rPr>
              <w:t>招标</w:t>
            </w:r>
            <w:r>
              <w:rPr>
                <w:rFonts w:hint="eastAsia" w:ascii="宋体" w:hAnsi="宋体" w:cs="宋体"/>
                <w:color w:val="auto"/>
                <w:sz w:val="24"/>
                <w:highlight w:val="none"/>
              </w:rPr>
              <w:t>文件。</w:t>
            </w:r>
            <w:r>
              <w:rPr>
                <w:rFonts w:hint="eastAsia" w:ascii="宋体" w:hAnsi="宋体" w:cs="宋体"/>
                <w:color w:val="auto"/>
                <w:sz w:val="24"/>
                <w:highlight w:val="none"/>
                <w:lang w:val="en-US" w:eastAsia="zh-CN"/>
              </w:rPr>
              <w:t>第1-6标段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25</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时00分（北京时间）前递交投标文件</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第7-12标段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26</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w:t>
            </w:r>
            <w:r>
              <w:rPr>
                <w:rFonts w:hint="eastAsia" w:ascii="宋体" w:hAnsi="宋体" w:cs="宋体"/>
                <w:color w:val="auto"/>
                <w:sz w:val="24"/>
                <w:highlight w:val="none"/>
                <w:lang w:eastAsia="zh-CN"/>
              </w:rPr>
              <w:t>）</w:t>
            </w:r>
            <w:r>
              <w:rPr>
                <w:rFonts w:hint="eastAsia" w:ascii="宋体" w:hAnsi="宋体" w:cs="宋体"/>
                <w:color w:val="auto"/>
                <w:sz w:val="24"/>
                <w:highlight w:val="none"/>
              </w:rPr>
              <w:t>前递交投标文件</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第13-18标段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28</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时00分（北京时间）前递交投标文件</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第19-24标段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29</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时00分（北京时间）前递交投标文件</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第25-30标段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07</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时00分（北京时间）前递交投标文件</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第31-36标段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时00分（北京时间）前递交投标文件</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第37-42标段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时00分（北京时间）前递交投标文件。</w:t>
            </w:r>
          </w:p>
        </w:tc>
      </w:tr>
    </w:tbl>
    <w:p>
      <w:pPr>
        <w:spacing w:line="360" w:lineRule="auto"/>
        <w:rPr>
          <w:rFonts w:ascii="宋体" w:hAnsi="宋体" w:cs="宋体"/>
          <w:bCs/>
          <w:color w:val="auto"/>
          <w:sz w:val="24"/>
          <w:highlight w:val="none"/>
        </w:rPr>
      </w:pPr>
      <w:bookmarkStart w:id="6" w:name="_Toc35393621"/>
      <w:bookmarkStart w:id="7" w:name="_Toc28359079"/>
      <w:bookmarkStart w:id="8" w:name="_Toc28359002"/>
      <w:bookmarkStart w:id="9" w:name="_Toc35393790"/>
      <w:bookmarkStart w:id="10" w:name="_Hlk24379207"/>
      <w:r>
        <w:rPr>
          <w:rFonts w:ascii="宋体" w:hAnsi="宋体" w:cs="宋体"/>
          <w:bCs/>
          <w:color w:val="auto"/>
          <w:sz w:val="24"/>
          <w:highlight w:val="none"/>
        </w:rPr>
        <w:t>一、项目基本情况</w:t>
      </w:r>
      <w:bookmarkEnd w:id="6"/>
      <w:bookmarkEnd w:id="7"/>
      <w:bookmarkEnd w:id="8"/>
      <w:bookmarkEnd w:id="9"/>
    </w:p>
    <w:p>
      <w:pPr>
        <w:spacing w:line="360" w:lineRule="auto"/>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1.1项目编号：ZYGJ-CZHW-2436</w:t>
      </w:r>
      <w:r>
        <w:rPr>
          <w:rFonts w:hint="eastAsia" w:ascii="宋体" w:hAnsi="宋体" w:cs="宋体"/>
          <w:bCs/>
          <w:color w:val="auto"/>
          <w:sz w:val="24"/>
          <w:highlight w:val="none"/>
          <w:lang w:val="en-US" w:eastAsia="zh-CN"/>
        </w:rPr>
        <w:t xml:space="preserve"> </w:t>
      </w:r>
    </w:p>
    <w:p>
      <w:pPr>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1.2项目名称：</w:t>
      </w:r>
      <w:bookmarkEnd w:id="10"/>
      <w:r>
        <w:rPr>
          <w:rFonts w:hint="eastAsia" w:ascii="宋体" w:hAnsi="宋体" w:cs="宋体"/>
          <w:bCs/>
          <w:color w:val="auto"/>
          <w:sz w:val="24"/>
          <w:highlight w:val="none"/>
        </w:rPr>
        <w:t>吉林省消防救援总队“自然灾害应急能力提升工程”装备配备项目（防护攻坚装备）</w:t>
      </w:r>
    </w:p>
    <w:p>
      <w:pPr>
        <w:spacing w:line="360" w:lineRule="auto"/>
        <w:rPr>
          <w:rFonts w:ascii="宋体" w:hAnsi="宋体" w:cs="宋体"/>
          <w:bCs/>
          <w:color w:val="auto"/>
          <w:sz w:val="24"/>
          <w:highlight w:val="none"/>
        </w:rPr>
      </w:pPr>
      <w:r>
        <w:rPr>
          <w:rFonts w:hint="eastAsia" w:ascii="宋体" w:hAnsi="宋体" w:cs="宋体"/>
          <w:bCs/>
          <w:color w:val="auto"/>
          <w:sz w:val="24"/>
          <w:highlight w:val="none"/>
        </w:rPr>
        <w:t>1.3预算金额：人民币12681.5260万元</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1.4最高限价：人民币12681.5260万元</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 xml:space="preserve">1.5采购方式：公开招标  </w:t>
      </w:r>
    </w:p>
    <w:p>
      <w:pPr>
        <w:widowControl/>
        <w:spacing w:line="360" w:lineRule="auto"/>
        <w:jc w:val="left"/>
        <w:rPr>
          <w:rFonts w:hint="default" w:ascii="宋体" w:hAnsi="宋体" w:eastAsia="宋体" w:cs="宋体"/>
          <w:bCs/>
          <w:color w:val="auto"/>
          <w:sz w:val="24"/>
          <w:highlight w:val="none"/>
          <w:lang w:val="en-US" w:eastAsia="zh-CN"/>
        </w:rPr>
      </w:pPr>
      <w:r>
        <w:rPr>
          <w:rFonts w:hint="eastAsia" w:ascii="宋体" w:hAnsi="宋体" w:cs="宋体"/>
          <w:bCs/>
          <w:color w:val="auto"/>
          <w:sz w:val="24"/>
          <w:highlight w:val="none"/>
        </w:rPr>
        <w:t>1.6采购需求：</w:t>
      </w:r>
    </w:p>
    <w:tbl>
      <w:tblPr>
        <w:tblStyle w:val="24"/>
        <w:tblW w:w="95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73"/>
        <w:gridCol w:w="2679"/>
        <w:gridCol w:w="1317"/>
        <w:gridCol w:w="986"/>
        <w:gridCol w:w="758"/>
        <w:gridCol w:w="1443"/>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标段</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品种</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预算</w:t>
            </w:r>
          </w:p>
          <w:p>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（万元）</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数量</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单位</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金额</w:t>
            </w:r>
          </w:p>
          <w:p>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（万元）</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小计</w:t>
            </w:r>
          </w:p>
          <w:p>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骨传导通话装置</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0.237</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1348</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319.4760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 xml:space="preserve">319.4760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消防员呼救器后场接收装置</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2.60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103</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267.80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267.80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手持电台</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0.53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2514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1332.42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1332.42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灭火防护套装</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0.26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2591</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673.66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673.66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灭火防护服</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2826</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706.50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706.50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2"/>
                <w:sz w:val="24"/>
                <w:szCs w:val="24"/>
                <w:highlight w:val="none"/>
                <w:u w:val="none"/>
                <w:lang w:val="en-US" w:eastAsia="zh-CN" w:bidi="ar-SA"/>
              </w:rPr>
              <w:t>6</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抢险救援服装</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0.23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2474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569.02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569.02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lang w:val="en-US" w:eastAsia="zh-CN"/>
              </w:rPr>
              <w:t>7</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抢险救援套装</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0.21</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2062</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433.02</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433.02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lang w:val="en-US" w:eastAsia="zh-CN"/>
              </w:rPr>
              <w:t>8</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消防员避火防护服</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0.53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382</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202.46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202.46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2"/>
                <w:sz w:val="24"/>
                <w:szCs w:val="24"/>
                <w:highlight w:val="none"/>
                <w:u w:val="none"/>
                <w:lang w:val="en-US" w:eastAsia="zh-CN" w:bidi="ar-SA"/>
              </w:rPr>
              <w:t>9</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消防员防蜂服</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203</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40.60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40.60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lang w:val="en-US" w:eastAsia="zh-CN"/>
              </w:rPr>
              <w:t>10</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轻型防化服</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0.75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526</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394.50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394.50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lang w:val="en-US" w:eastAsia="zh-CN"/>
              </w:rPr>
              <w:t>11</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重型防化服</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400</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600.00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jc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lang w:val="en-US" w:eastAsia="zh-CN"/>
              </w:rPr>
              <w:t>12</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水面漂浮救生绳（200米）</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0.48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根</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49.92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jc w:val="center"/>
              <w:rPr>
                <w:rFonts w:hint="eastAsia" w:ascii="宋体" w:hAnsi="宋体" w:eastAsia="宋体" w:cs="宋体"/>
                <w:i w:val="0"/>
                <w:iCs w:val="0"/>
                <w:color w:val="auto"/>
                <w:sz w:val="24"/>
                <w:szCs w:val="24"/>
                <w:highlight w:val="none"/>
                <w:u w:val="none"/>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通用安全绳（200米）</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0.31</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62</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19.22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jc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lang w:val="en-US" w:eastAsia="zh-CN"/>
              </w:rPr>
              <w:t>13</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电钻</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0.43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10.75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jc w:val="center"/>
              <w:rPr>
                <w:rFonts w:hint="eastAsia" w:ascii="宋体" w:hAnsi="宋体" w:eastAsia="宋体" w:cs="宋体"/>
                <w:i w:val="0"/>
                <w:iCs w:val="0"/>
                <w:color w:val="auto"/>
                <w:sz w:val="24"/>
                <w:szCs w:val="24"/>
                <w:highlight w:val="none"/>
                <w:u w:val="none"/>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角磨机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0.39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87</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33.93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jc w:val="center"/>
              <w:rPr>
                <w:rFonts w:hint="eastAsia" w:ascii="宋体" w:hAnsi="宋体" w:eastAsia="宋体" w:cs="宋体"/>
                <w:i w:val="0"/>
                <w:iCs w:val="0"/>
                <w:color w:val="auto"/>
                <w:sz w:val="24"/>
                <w:szCs w:val="24"/>
                <w:highlight w:val="none"/>
                <w:u w:val="none"/>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液压千斤顶</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43</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8.60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jc w:val="center"/>
              <w:rPr>
                <w:rFonts w:hint="eastAsia" w:ascii="宋体" w:hAnsi="宋体" w:eastAsia="宋体" w:cs="宋体"/>
                <w:i w:val="0"/>
                <w:iCs w:val="0"/>
                <w:color w:val="auto"/>
                <w:sz w:val="24"/>
                <w:szCs w:val="24"/>
                <w:highlight w:val="none"/>
                <w:u w:val="none"/>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卷扬机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0.53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7.95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sz w:val="24"/>
                <w:szCs w:val="24"/>
                <w:highlight w:val="none"/>
                <w:u w:val="none"/>
                <w:lang w:val="en-US" w:eastAsia="zh-CN"/>
              </w:rPr>
              <w:t>14</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电动卷扬机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 xml:space="preserve">13.00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23</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299.00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299.00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sz w:val="24"/>
                <w:szCs w:val="24"/>
                <w:highlight w:val="none"/>
                <w:u w:val="none"/>
                <w:lang w:val="en-US" w:eastAsia="zh-CN"/>
              </w:rPr>
              <w:t>15</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消防梯15米</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 xml:space="preserve">0.92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38</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部</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34.96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34.96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移动水带收卷机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 xml:space="preserve">0.35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18</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6.30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jc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移动水囊</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 xml:space="preserve">1.80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10</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18.00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jc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强制送风机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0.35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5.95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jc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坑道小型空气输送机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0.65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41.60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jc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狭小空间排烟机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17.00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18</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移动式排烟机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 xml:space="preserve">2.50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82</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205.00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205.00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水驱动排烟机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5.00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250.00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250.00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单兵携行包（箱）</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0.35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522</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182.70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182.70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21</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静音发电机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51</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51.00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51.00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22</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大功率发电机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85</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102.00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102.00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lang w:val="en-US" w:eastAsia="zh-CN"/>
              </w:rPr>
              <w:t>23</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电绝缘装具</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0.33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92</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30.36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防电服</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0.21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72</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15.12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lang w:val="en-US" w:eastAsia="zh-CN"/>
              </w:rPr>
              <w:t>24</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防静电服</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0.21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584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122.64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122.64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浮艇泵</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243.00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243.00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26</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手抬机动泵</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6.00</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53</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318.00</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318.00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27</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便携式推车</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0.87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99</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86.13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航空运输箱</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451</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90.20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lang w:val="en-US" w:eastAsia="zh-CN"/>
              </w:rPr>
              <w:t>28</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移动照明灯组</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2.00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143</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组</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286.00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286.00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29</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空气呼吸器</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0.80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2097</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部</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1677.60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1677.60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正压式消防氧气呼吸器</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1.10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301</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部</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331.10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331.10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31</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移动供气源</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 xml:space="preserve">2.70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125</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组</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337.50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408.90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高压气瓶</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0.70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102</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组</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71.40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32</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空呼气瓶</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1389</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277.80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277.80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33</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空气充填泵</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 xml:space="preserve">9.00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21</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189.00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189.00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34</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净水设备</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28.50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排用炊事单元</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10.00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35</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婴儿呼吸袋</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0.40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55</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22.00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22.00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36</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AED除颤仪</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98</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245.00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245.00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37</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网架帐篷（40m</w:t>
            </w:r>
            <w:r>
              <w:rPr>
                <w:rStyle w:val="49"/>
                <w:rFonts w:hint="eastAsia" w:ascii="宋体" w:hAnsi="宋体" w:eastAsia="宋体" w:cs="宋体"/>
                <w:color w:val="auto"/>
                <w:sz w:val="24"/>
                <w:szCs w:val="24"/>
                <w:highlight w:val="none"/>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27</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49.95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网架帐篷（</w:t>
            </w:r>
            <w:r>
              <w:rPr>
                <w:rStyle w:val="50"/>
                <w:rFonts w:hint="eastAsia" w:ascii="宋体" w:hAnsi="宋体" w:eastAsia="宋体" w:cs="宋体"/>
                <w:color w:val="auto"/>
                <w:sz w:val="24"/>
                <w:szCs w:val="24"/>
                <w:highlight w:val="none"/>
                <w:lang w:val="en-US" w:eastAsia="zh-CN" w:bidi="ar"/>
              </w:rPr>
              <w:t>60m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35</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87.50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38</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充气帐篷（100m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4.94</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88.92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264.39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充气帐篷（40m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1.73</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39</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67.47</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充气帐篷（60m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3.00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36</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108.00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39</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照明呼救套装</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0.225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2074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466.65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466.65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40</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救生照明线</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1.45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卷</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223.30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223.30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41</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小型移动照明灯组</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178</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组</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267.00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267.00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42</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气柱灯</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1.30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7.80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移动照明灯</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0.35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5.25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月球灯</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27.00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泛光灯</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18.00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4969"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合计</w:t>
            </w:r>
          </w:p>
        </w:tc>
        <w:tc>
          <w:tcPr>
            <w:tcW w:w="174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2"/>
                <w:sz w:val="24"/>
                <w:szCs w:val="24"/>
                <w:highlight w:val="none"/>
                <w:u w:val="none"/>
                <w:lang w:val="en-US" w:eastAsia="zh-CN" w:bidi="ar-SA"/>
              </w:rPr>
              <w:t>25142</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12681.5260</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12681.5260</w:t>
            </w:r>
          </w:p>
        </w:tc>
      </w:tr>
    </w:tbl>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1.7合同履行期限（交货期）：</w:t>
      </w:r>
      <w:r>
        <w:rPr>
          <w:rFonts w:hint="eastAsia" w:ascii="宋体" w:hAnsi="宋体" w:eastAsia="宋体" w:cs="宋体"/>
          <w:b/>
          <w:bCs w:val="0"/>
          <w:color w:val="auto"/>
          <w:sz w:val="24"/>
          <w:highlight w:val="none"/>
        </w:rPr>
        <w:t>合同</w:t>
      </w:r>
      <w:r>
        <w:rPr>
          <w:rFonts w:hint="eastAsia" w:ascii="宋体" w:hAnsi="宋体" w:cs="宋体"/>
          <w:b/>
          <w:bCs w:val="0"/>
          <w:color w:val="auto"/>
          <w:sz w:val="24"/>
          <w:highlight w:val="none"/>
          <w:lang w:val="en-US" w:eastAsia="zh-CN"/>
        </w:rPr>
        <w:t>生效</w:t>
      </w:r>
      <w:r>
        <w:rPr>
          <w:rFonts w:hint="eastAsia" w:ascii="宋体" w:hAnsi="宋体" w:eastAsia="宋体" w:cs="宋体"/>
          <w:b/>
          <w:bCs w:val="0"/>
          <w:color w:val="auto"/>
          <w:sz w:val="24"/>
          <w:highlight w:val="none"/>
        </w:rPr>
        <w:t>后</w:t>
      </w:r>
      <w:r>
        <w:rPr>
          <w:rFonts w:hint="eastAsia" w:ascii="宋体" w:hAnsi="宋体" w:cs="宋体"/>
          <w:b/>
          <w:bCs w:val="0"/>
          <w:color w:val="auto"/>
          <w:sz w:val="24"/>
          <w:highlight w:val="none"/>
          <w:lang w:val="en-US" w:eastAsia="zh-CN"/>
        </w:rPr>
        <w:t>四</w:t>
      </w:r>
      <w:r>
        <w:rPr>
          <w:rFonts w:hint="eastAsia" w:ascii="宋体" w:hAnsi="宋体" w:eastAsia="宋体" w:cs="宋体"/>
          <w:b/>
          <w:bCs w:val="0"/>
          <w:color w:val="auto"/>
          <w:sz w:val="24"/>
          <w:highlight w:val="none"/>
        </w:rPr>
        <w:t>个月内履行完毕。</w:t>
      </w:r>
    </w:p>
    <w:p>
      <w:pPr>
        <w:widowControl/>
        <w:jc w:val="left"/>
        <w:rPr>
          <w:rFonts w:ascii="宋体" w:hAnsi="宋体" w:cs="宋体"/>
          <w:bCs/>
          <w:color w:val="auto"/>
          <w:sz w:val="24"/>
          <w:highlight w:val="none"/>
        </w:rPr>
      </w:pPr>
      <w:bookmarkStart w:id="11" w:name="_Toc35393791"/>
      <w:bookmarkStart w:id="12" w:name="_Toc28359003"/>
      <w:bookmarkStart w:id="13" w:name="_Toc28359080"/>
      <w:bookmarkStart w:id="14" w:name="_Toc35393622"/>
      <w:r>
        <w:rPr>
          <w:rFonts w:hint="eastAsia" w:ascii="宋体" w:hAnsi="宋体" w:cs="宋体"/>
          <w:bCs/>
          <w:color w:val="auto"/>
          <w:sz w:val="24"/>
          <w:highlight w:val="none"/>
        </w:rPr>
        <w:t>二、</w:t>
      </w:r>
      <w:r>
        <w:rPr>
          <w:rFonts w:hint="eastAsia" w:ascii="宋体" w:hAnsi="宋体" w:cs="宋体"/>
          <w:bCs/>
          <w:color w:val="auto"/>
          <w:sz w:val="24"/>
          <w:highlight w:val="none"/>
          <w:lang w:val="en-US" w:eastAsia="zh-CN"/>
        </w:rPr>
        <w:t>投标</w:t>
      </w:r>
      <w:r>
        <w:rPr>
          <w:rFonts w:hint="eastAsia" w:ascii="宋体" w:hAnsi="宋体" w:cs="宋体"/>
          <w:bCs/>
          <w:color w:val="auto"/>
          <w:sz w:val="24"/>
          <w:highlight w:val="none"/>
        </w:rPr>
        <w:t>人的资格要求：</w:t>
      </w:r>
      <w:bookmarkEnd w:id="11"/>
      <w:bookmarkEnd w:id="12"/>
      <w:bookmarkEnd w:id="13"/>
      <w:bookmarkEnd w:id="14"/>
      <w:bookmarkStart w:id="15" w:name="_Toc28359004"/>
      <w:bookmarkStart w:id="16" w:name="_Toc28359081"/>
    </w:p>
    <w:p>
      <w:pPr>
        <w:widowControl/>
        <w:spacing w:line="360" w:lineRule="auto"/>
        <w:jc w:val="left"/>
        <w:rPr>
          <w:rFonts w:ascii="宋体" w:hAnsi="宋体" w:cs="宋体"/>
          <w:bCs/>
          <w:color w:val="auto"/>
          <w:sz w:val="24"/>
          <w:highlight w:val="none"/>
        </w:rPr>
      </w:pPr>
      <w:bookmarkStart w:id="17" w:name="_Toc35393623"/>
      <w:bookmarkStart w:id="18" w:name="_Toc35393792"/>
      <w:r>
        <w:rPr>
          <w:rFonts w:hint="eastAsia" w:ascii="宋体" w:hAnsi="宋体" w:cs="宋体"/>
          <w:bCs/>
          <w:color w:val="auto"/>
          <w:sz w:val="24"/>
          <w:highlight w:val="none"/>
        </w:rPr>
        <w:t>2.1.满足《中华人民共和国政府采购法》第二十二条规定：</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1）具有独立承担民事责任的能力；</w:t>
      </w:r>
      <w:r>
        <w:rPr>
          <w:rFonts w:hint="eastAsia" w:ascii="宋体" w:hAnsi="宋体" w:cs="宋体"/>
          <w:bCs/>
          <w:color w:val="auto"/>
          <w:sz w:val="24"/>
          <w:highlight w:val="none"/>
        </w:rPr>
        <w:br w:type="textWrapping"/>
      </w:r>
      <w:r>
        <w:rPr>
          <w:rFonts w:hint="eastAsia" w:ascii="宋体" w:hAnsi="宋体" w:cs="宋体"/>
          <w:bCs/>
          <w:color w:val="auto"/>
          <w:sz w:val="24"/>
          <w:highlight w:val="none"/>
        </w:rPr>
        <w:t>2）具有良好的商业信誉和健全的财务会计制度{</w:t>
      </w:r>
      <w:r>
        <w:rPr>
          <w:rFonts w:hint="eastAsia" w:ascii="宋体" w:hAnsi="宋体" w:cs="宋体"/>
          <w:color w:val="auto"/>
          <w:sz w:val="24"/>
          <w:highlight w:val="none"/>
        </w:rPr>
        <w:t>提供近三年（</w:t>
      </w:r>
      <w:r>
        <w:rPr>
          <w:rFonts w:hint="eastAsia" w:ascii="宋体" w:hAnsi="宋体" w:cs="宋体"/>
          <w:color w:val="auto"/>
          <w:sz w:val="24"/>
          <w:highlight w:val="none"/>
          <w:lang w:eastAsia="zh-CN"/>
        </w:rPr>
        <w:t>2020年-2022年</w:t>
      </w:r>
      <w:r>
        <w:rPr>
          <w:rFonts w:hint="eastAsia" w:ascii="宋体" w:hAnsi="宋体" w:cs="宋体"/>
          <w:color w:val="auto"/>
          <w:sz w:val="24"/>
          <w:highlight w:val="none"/>
        </w:rPr>
        <w:t>）经会计师事务所出具的财务审计报告。（若投标人为20</w:t>
      </w:r>
      <w:r>
        <w:rPr>
          <w:rFonts w:hint="eastAsia" w:ascii="宋体" w:hAnsi="宋体" w:cs="宋体"/>
          <w:color w:val="auto"/>
          <w:sz w:val="24"/>
          <w:highlight w:val="none"/>
          <w:lang w:eastAsia="zh-CN"/>
        </w:rPr>
        <w:t>20</w:t>
      </w:r>
      <w:r>
        <w:rPr>
          <w:rFonts w:hint="eastAsia" w:ascii="宋体" w:hAnsi="宋体" w:cs="宋体"/>
          <w:color w:val="auto"/>
          <w:sz w:val="24"/>
          <w:highlight w:val="none"/>
        </w:rPr>
        <w:t>年以后注册成立的公司，即需提供从成立日期起的财务审计报告；</w:t>
      </w:r>
      <w:r>
        <w:rPr>
          <w:rFonts w:hint="eastAsia" w:ascii="宋体" w:hAnsi="宋体" w:cs="宋体"/>
          <w:color w:val="auto"/>
          <w:sz w:val="24"/>
          <w:highlight w:val="none"/>
          <w:lang w:eastAsia="zh-CN"/>
        </w:rPr>
        <w:t>若投标人为2023年以后注册成立的</w:t>
      </w:r>
      <w:r>
        <w:rPr>
          <w:rFonts w:hint="eastAsia" w:ascii="宋体" w:hAnsi="宋体" w:cs="宋体"/>
          <w:color w:val="auto"/>
          <w:sz w:val="24"/>
          <w:highlight w:val="none"/>
        </w:rPr>
        <w:t>公司，即需提供一份银行资信证明）</w:t>
      </w:r>
      <w:r>
        <w:rPr>
          <w:rFonts w:hint="eastAsia" w:ascii="宋体" w:hAnsi="宋体" w:cs="宋体"/>
          <w:bCs/>
          <w:color w:val="auto"/>
          <w:sz w:val="24"/>
          <w:highlight w:val="none"/>
        </w:rPr>
        <w:t>}；</w:t>
      </w:r>
      <w:r>
        <w:rPr>
          <w:rFonts w:hint="eastAsia" w:ascii="宋体" w:hAnsi="宋体" w:cs="宋体"/>
          <w:bCs/>
          <w:color w:val="auto"/>
          <w:sz w:val="24"/>
          <w:highlight w:val="none"/>
        </w:rPr>
        <w:br w:type="textWrapping"/>
      </w:r>
      <w:r>
        <w:rPr>
          <w:rFonts w:hint="eastAsia" w:ascii="宋体" w:hAnsi="宋体" w:cs="宋体"/>
          <w:bCs/>
          <w:color w:val="auto"/>
          <w:sz w:val="24"/>
          <w:highlight w:val="none"/>
        </w:rPr>
        <w:t>3）具有履行合同所必需的设备和专业技术能力</w:t>
      </w:r>
      <w:r>
        <w:rPr>
          <w:rFonts w:hint="eastAsia" w:ascii="宋体" w:hAnsi="宋体" w:cs="宋体"/>
          <w:color w:val="auto"/>
          <w:sz w:val="24"/>
          <w:highlight w:val="none"/>
        </w:rPr>
        <w:t>（可以提供</w:t>
      </w:r>
      <w:r>
        <w:rPr>
          <w:rFonts w:hint="eastAsia" w:ascii="宋体" w:hAnsi="宋体" w:cs="宋体"/>
          <w:color w:val="auto"/>
          <w:sz w:val="24"/>
          <w:highlight w:val="none"/>
          <w:lang w:eastAsia="zh-CN"/>
        </w:rPr>
        <w:t>同类的业绩</w:t>
      </w:r>
      <w:r>
        <w:rPr>
          <w:rFonts w:hint="eastAsia" w:ascii="宋体" w:hAnsi="宋体" w:cs="宋体"/>
          <w:color w:val="auto"/>
          <w:sz w:val="24"/>
          <w:highlight w:val="none"/>
        </w:rPr>
        <w:t>合同或者可以提供</w:t>
      </w:r>
      <w:r>
        <w:rPr>
          <w:rFonts w:hint="eastAsia" w:ascii="宋体" w:hAnsi="宋体" w:cs="宋体"/>
          <w:color w:val="auto"/>
          <w:sz w:val="24"/>
          <w:highlight w:val="none"/>
          <w:lang w:val="en-US" w:eastAsia="zh-CN"/>
        </w:rPr>
        <w:t>声明函</w:t>
      </w:r>
      <w:r>
        <w:rPr>
          <w:rFonts w:hint="eastAsia" w:ascii="宋体" w:hAnsi="宋体" w:cs="宋体"/>
          <w:color w:val="auto"/>
          <w:sz w:val="24"/>
          <w:highlight w:val="none"/>
        </w:rPr>
        <w:t>&lt;格式自拟&gt;）</w:t>
      </w:r>
      <w:r>
        <w:rPr>
          <w:rFonts w:hint="eastAsia" w:ascii="宋体" w:hAnsi="宋体" w:cs="宋体"/>
          <w:bCs/>
          <w:color w:val="auto"/>
          <w:sz w:val="24"/>
          <w:highlight w:val="none"/>
        </w:rPr>
        <w:t>；</w:t>
      </w:r>
      <w:r>
        <w:rPr>
          <w:rFonts w:hint="eastAsia" w:ascii="宋体" w:hAnsi="宋体" w:cs="宋体"/>
          <w:bCs/>
          <w:color w:val="auto"/>
          <w:sz w:val="24"/>
          <w:highlight w:val="none"/>
        </w:rPr>
        <w:br w:type="textWrapping"/>
      </w:r>
      <w:r>
        <w:rPr>
          <w:rFonts w:hint="eastAsia" w:ascii="宋体" w:hAnsi="宋体" w:cs="宋体"/>
          <w:bCs/>
          <w:color w:val="auto"/>
          <w:sz w:val="24"/>
          <w:highlight w:val="none"/>
        </w:rPr>
        <w:t>4）有依法缴纳税收和社会保障资金的良好记录{</w:t>
      </w:r>
      <w:r>
        <w:rPr>
          <w:rFonts w:hint="eastAsia" w:ascii="宋体" w:hAnsi="宋体" w:cs="宋体"/>
          <w:color w:val="auto"/>
          <w:sz w:val="24"/>
          <w:highlight w:val="none"/>
        </w:rPr>
        <w:t>提供</w:t>
      </w:r>
      <w:r>
        <w:rPr>
          <w:rFonts w:hint="eastAsia" w:ascii="宋体" w:hAnsi="宋体" w:cs="宋体"/>
          <w:color w:val="auto"/>
          <w:sz w:val="24"/>
          <w:highlight w:val="none"/>
          <w:lang w:eastAsia="zh-CN"/>
        </w:rPr>
        <w:t>近一年（2023年02月以后）任意两个月的</w:t>
      </w:r>
      <w:r>
        <w:rPr>
          <w:rFonts w:hint="eastAsia" w:ascii="宋体" w:hAnsi="宋体" w:cs="宋体"/>
          <w:color w:val="auto"/>
          <w:sz w:val="24"/>
          <w:highlight w:val="none"/>
        </w:rPr>
        <w:t>依法缴纳税收</w:t>
      </w:r>
      <w:r>
        <w:rPr>
          <w:rFonts w:hint="eastAsia" w:ascii="宋体" w:hAnsi="宋体" w:cs="宋体"/>
          <w:color w:val="auto"/>
          <w:sz w:val="24"/>
          <w:highlight w:val="none"/>
          <w:lang w:val="en-US" w:eastAsia="zh-CN"/>
        </w:rPr>
        <w:t>记录</w:t>
      </w:r>
      <w:r>
        <w:rPr>
          <w:rFonts w:hint="eastAsia" w:ascii="宋体" w:hAnsi="宋体" w:cs="宋体"/>
          <w:color w:val="auto"/>
          <w:sz w:val="24"/>
          <w:highlight w:val="none"/>
        </w:rPr>
        <w:t>和社会保障资金的相关材料（依法免税的</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，应提供相应文件证明其依法免税）</w:t>
      </w:r>
      <w:r>
        <w:rPr>
          <w:rFonts w:hint="eastAsia" w:ascii="宋体" w:hAnsi="宋体" w:cs="宋体"/>
          <w:bCs/>
          <w:color w:val="auto"/>
          <w:sz w:val="24"/>
          <w:highlight w:val="none"/>
        </w:rPr>
        <w:t>}；</w:t>
      </w:r>
      <w:r>
        <w:rPr>
          <w:rFonts w:hint="eastAsia" w:ascii="宋体" w:hAnsi="宋体" w:cs="宋体"/>
          <w:bCs/>
          <w:color w:val="auto"/>
          <w:sz w:val="24"/>
          <w:highlight w:val="none"/>
        </w:rPr>
        <w:br w:type="textWrapping"/>
      </w:r>
      <w:r>
        <w:rPr>
          <w:rFonts w:hint="eastAsia" w:ascii="宋体" w:hAnsi="宋体" w:cs="宋体"/>
          <w:bCs/>
          <w:color w:val="auto"/>
          <w:sz w:val="24"/>
          <w:highlight w:val="none"/>
        </w:rPr>
        <w:t>5）参加政府采购活动前三年内，在经营活动中没有重大违法记录；</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6）法律、行政法规规定的其他条件。</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2.2落实政府采购政策需满足的资格要求：</w:t>
      </w:r>
      <w:r>
        <w:rPr>
          <w:rFonts w:hint="eastAsia" w:ascii="宋体" w:hAnsi="宋体" w:cs="宋体"/>
          <w:b/>
          <w:bCs w:val="0"/>
          <w:color w:val="auto"/>
          <w:sz w:val="24"/>
          <w:highlight w:val="none"/>
          <w:lang w:eastAsia="zh-CN"/>
        </w:rPr>
        <w:t>本项目第5、6、15、17、20标段专门面向中小企业采购；第9、13、14、16、18、19、25、26、27、37、38、40、42标段专门面向小微企业采购；其余标段非专门面向中小企业采购；</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2.3本项目的特定资格要求：</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1）投标人应当通过“信用中国”网站（www.creditchina.gov.cn）、中国政府采购网（www.ccgp.gov.cn）等渠道查询相关主体信用记录</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未被</w:t>
      </w:r>
      <w:r>
        <w:rPr>
          <w:rFonts w:hint="eastAsia" w:ascii="宋体" w:hAnsi="宋体" w:cs="宋体"/>
          <w:bCs/>
          <w:color w:val="auto"/>
          <w:sz w:val="24"/>
          <w:highlight w:val="none"/>
          <w:lang w:eastAsia="zh-CN"/>
        </w:rPr>
        <w:t>列入失信被执行人、重大税收违法失信主体、政府采购严重违法失信行为记录名单。</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2）</w:t>
      </w:r>
      <w:r>
        <w:rPr>
          <w:rFonts w:hint="eastAsia" w:ascii="宋体" w:hAnsi="宋体" w:cs="宋体"/>
          <w:bCs/>
          <w:color w:val="auto"/>
          <w:sz w:val="24"/>
          <w:highlight w:val="none"/>
          <w:lang w:eastAsia="zh-CN"/>
        </w:rPr>
        <w:t>单位负责人为同一人或存在直接控股</w:t>
      </w:r>
      <w:r>
        <w:rPr>
          <w:rFonts w:hint="eastAsia" w:ascii="宋体" w:hAnsi="宋体" w:cs="宋体"/>
          <w:bCs/>
          <w:color w:val="auto"/>
          <w:sz w:val="24"/>
          <w:highlight w:val="none"/>
        </w:rPr>
        <w:t>、管理关系的不同</w:t>
      </w:r>
      <w:r>
        <w:rPr>
          <w:rFonts w:hint="eastAsia" w:ascii="宋体" w:hAnsi="宋体" w:cs="宋体"/>
          <w:bCs/>
          <w:color w:val="auto"/>
          <w:sz w:val="24"/>
          <w:highlight w:val="none"/>
          <w:lang w:val="en-US" w:eastAsia="zh-CN"/>
        </w:rPr>
        <w:t>供应商</w:t>
      </w:r>
      <w:r>
        <w:rPr>
          <w:rFonts w:hint="eastAsia" w:ascii="宋体" w:hAnsi="宋体" w:cs="宋体"/>
          <w:bCs/>
          <w:color w:val="auto"/>
          <w:sz w:val="24"/>
          <w:highlight w:val="none"/>
        </w:rPr>
        <w:t>，不得参加同一合同项下的政府采购活动。</w:t>
      </w:r>
    </w:p>
    <w:p>
      <w:pPr>
        <w:rPr>
          <w:rFonts w:ascii="宋体" w:hAnsi="宋体" w:cs="宋体"/>
          <w:bCs/>
          <w:color w:val="auto"/>
          <w:sz w:val="24"/>
          <w:highlight w:val="none"/>
        </w:rPr>
      </w:pPr>
      <w:r>
        <w:rPr>
          <w:rFonts w:hint="eastAsia" w:ascii="宋体" w:hAnsi="宋体" w:cs="宋体"/>
          <w:bCs/>
          <w:color w:val="auto"/>
          <w:sz w:val="24"/>
          <w:highlight w:val="none"/>
        </w:rPr>
        <w:t>三、获取招标文件</w:t>
      </w:r>
      <w:bookmarkEnd w:id="15"/>
      <w:bookmarkEnd w:id="16"/>
      <w:bookmarkEnd w:id="17"/>
      <w:bookmarkEnd w:id="18"/>
    </w:p>
    <w:p>
      <w:pPr>
        <w:widowControl/>
        <w:spacing w:line="360" w:lineRule="auto"/>
        <w:ind w:firstLine="480" w:firstLineChars="200"/>
        <w:jc w:val="left"/>
        <w:rPr>
          <w:rFonts w:hint="eastAsia" w:ascii="宋体" w:hAnsi="宋体" w:cs="宋体"/>
          <w:bCs/>
          <w:color w:val="auto"/>
          <w:sz w:val="24"/>
          <w:highlight w:val="none"/>
        </w:rPr>
      </w:pPr>
      <w:r>
        <w:rPr>
          <w:rFonts w:hint="eastAsia" w:ascii="宋体" w:hAnsi="宋体" w:cs="宋体"/>
          <w:bCs/>
          <w:color w:val="auto"/>
          <w:sz w:val="24"/>
          <w:highlight w:val="none"/>
        </w:rPr>
        <w:t>时间：</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u w:val="single"/>
          <w:lang w:val="en-US" w:eastAsia="zh-CN"/>
        </w:rPr>
        <w:t>2024</w:t>
      </w:r>
      <w:r>
        <w:rPr>
          <w:rFonts w:hint="eastAsia" w:ascii="宋体" w:hAnsi="宋体" w:cs="宋体"/>
          <w:bCs/>
          <w:color w:val="auto"/>
          <w:sz w:val="24"/>
          <w:highlight w:val="none"/>
          <w:u w:val="single"/>
        </w:rPr>
        <w:t>年</w:t>
      </w:r>
      <w:r>
        <w:rPr>
          <w:rFonts w:hint="eastAsia" w:ascii="宋体" w:hAnsi="宋体" w:cs="宋体"/>
          <w:bCs/>
          <w:color w:val="auto"/>
          <w:sz w:val="24"/>
          <w:highlight w:val="none"/>
          <w:u w:val="single"/>
          <w:lang w:val="en-US" w:eastAsia="zh-CN"/>
        </w:rPr>
        <w:t>04</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03</w:t>
      </w:r>
      <w:r>
        <w:rPr>
          <w:rFonts w:hint="eastAsia" w:ascii="宋体" w:hAnsi="宋体" w:cs="宋体"/>
          <w:bCs/>
          <w:color w:val="auto"/>
          <w:sz w:val="24"/>
          <w:highlight w:val="none"/>
          <w:u w:val="single"/>
        </w:rPr>
        <w:t>日至</w:t>
      </w:r>
      <w:r>
        <w:rPr>
          <w:rFonts w:hint="eastAsia" w:ascii="宋体" w:hAnsi="宋体" w:cs="宋体"/>
          <w:bCs/>
          <w:color w:val="auto"/>
          <w:sz w:val="24"/>
          <w:highlight w:val="none"/>
          <w:u w:val="single"/>
          <w:lang w:val="en-US" w:eastAsia="zh-CN"/>
        </w:rPr>
        <w:t>2024</w:t>
      </w:r>
      <w:r>
        <w:rPr>
          <w:rFonts w:hint="eastAsia" w:ascii="宋体" w:hAnsi="宋体" w:cs="宋体"/>
          <w:bCs/>
          <w:color w:val="auto"/>
          <w:sz w:val="24"/>
          <w:highlight w:val="none"/>
          <w:u w:val="single"/>
        </w:rPr>
        <w:t>年</w:t>
      </w:r>
      <w:r>
        <w:rPr>
          <w:rFonts w:hint="eastAsia" w:ascii="宋体" w:hAnsi="宋体" w:cs="宋体"/>
          <w:bCs/>
          <w:color w:val="auto"/>
          <w:sz w:val="24"/>
          <w:highlight w:val="none"/>
          <w:u w:val="single"/>
          <w:lang w:val="en-US" w:eastAsia="zh-CN"/>
        </w:rPr>
        <w:t>04</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10</w:t>
      </w:r>
      <w:r>
        <w:rPr>
          <w:rFonts w:hint="eastAsia" w:ascii="宋体" w:hAnsi="宋体" w:cs="宋体"/>
          <w:bCs/>
          <w:color w:val="auto"/>
          <w:sz w:val="24"/>
          <w:highlight w:val="none"/>
          <w:u w:val="single"/>
        </w:rPr>
        <w:t>日</w:t>
      </w:r>
      <w:r>
        <w:rPr>
          <w:rFonts w:hint="eastAsia" w:ascii="宋体" w:hAnsi="宋体" w:cs="宋体"/>
          <w:bCs/>
          <w:color w:val="auto"/>
          <w:sz w:val="24"/>
          <w:highlight w:val="none"/>
        </w:rPr>
        <w:t>，每天上午</w:t>
      </w:r>
      <w:r>
        <w:rPr>
          <w:rFonts w:hint="eastAsia" w:ascii="宋体" w:hAnsi="宋体" w:cs="宋体"/>
          <w:bCs/>
          <w:color w:val="auto"/>
          <w:sz w:val="24"/>
          <w:highlight w:val="none"/>
          <w:u w:val="single"/>
        </w:rPr>
        <w:t>08：30</w:t>
      </w:r>
      <w:r>
        <w:rPr>
          <w:rFonts w:hint="eastAsia" w:ascii="宋体" w:hAnsi="宋体" w:cs="宋体"/>
          <w:bCs/>
          <w:color w:val="auto"/>
          <w:sz w:val="24"/>
          <w:highlight w:val="none"/>
        </w:rPr>
        <w:t>至</w:t>
      </w:r>
      <w:r>
        <w:rPr>
          <w:rFonts w:hint="eastAsia" w:ascii="宋体" w:hAnsi="宋体" w:cs="宋体"/>
          <w:bCs/>
          <w:color w:val="auto"/>
          <w:sz w:val="24"/>
          <w:highlight w:val="none"/>
          <w:u w:val="single"/>
        </w:rPr>
        <w:t>16：00</w:t>
      </w:r>
      <w:r>
        <w:rPr>
          <w:rFonts w:hint="eastAsia" w:ascii="宋体" w:hAnsi="宋体" w:cs="宋体"/>
          <w:bCs/>
          <w:color w:val="auto"/>
          <w:sz w:val="24"/>
          <w:highlight w:val="none"/>
        </w:rPr>
        <w:t>，（北京时间，法定节假日除外）。</w:t>
      </w:r>
    </w:p>
    <w:p>
      <w:pPr>
        <w:widowControl/>
        <w:spacing w:line="360" w:lineRule="auto"/>
        <w:ind w:firstLine="480" w:firstLineChars="200"/>
        <w:jc w:val="left"/>
        <w:rPr>
          <w:rFonts w:hint="eastAsia" w:ascii="宋体" w:hAnsi="宋体" w:cs="宋体"/>
          <w:bCs/>
          <w:color w:val="auto"/>
          <w:sz w:val="24"/>
          <w:highlight w:val="none"/>
          <w:lang w:eastAsia="zh-CN"/>
        </w:rPr>
      </w:pPr>
      <w:r>
        <w:rPr>
          <w:rFonts w:hint="eastAsia" w:ascii="宋体" w:hAnsi="宋体" w:cs="宋体"/>
          <w:bCs/>
          <w:color w:val="auto"/>
          <w:sz w:val="24"/>
          <w:highlight w:val="none"/>
          <w:lang w:eastAsia="zh-CN"/>
        </w:rPr>
        <w:t>地点：长春市经开区浦东路12号虹湾国际A座15层</w:t>
      </w:r>
    </w:p>
    <w:p>
      <w:pPr>
        <w:widowControl/>
        <w:spacing w:line="360" w:lineRule="auto"/>
        <w:ind w:firstLine="480" w:firstLineChars="200"/>
        <w:jc w:val="left"/>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eastAsia="zh-CN"/>
        </w:rPr>
        <w:t>方式：</w:t>
      </w:r>
      <w:r>
        <w:rPr>
          <w:rFonts w:hint="eastAsia" w:ascii="宋体" w:hAnsi="宋体" w:cs="宋体"/>
          <w:bCs/>
          <w:color w:val="auto"/>
          <w:sz w:val="24"/>
          <w:highlight w:val="none"/>
          <w:lang w:val="en-US" w:eastAsia="zh-CN"/>
        </w:rPr>
        <w:fldChar w:fldCharType="begin"/>
      </w:r>
      <w:r>
        <w:rPr>
          <w:rFonts w:hint="eastAsia" w:ascii="宋体" w:hAnsi="宋体" w:cs="宋体"/>
          <w:bCs/>
          <w:color w:val="auto"/>
          <w:sz w:val="24"/>
          <w:highlight w:val="none"/>
          <w:lang w:val="en-US" w:eastAsia="zh-CN"/>
        </w:rPr>
        <w:instrText xml:space="preserve"> HYPERLINK "mailto:凡有意参加投标者，请将以下资料加盖公章的复印件发送至2645265797@qq.com邮箱购买cuoshang" </w:instrText>
      </w:r>
      <w:r>
        <w:rPr>
          <w:rFonts w:hint="eastAsia" w:ascii="宋体" w:hAnsi="宋体" w:cs="宋体"/>
          <w:bCs/>
          <w:color w:val="auto"/>
          <w:sz w:val="24"/>
          <w:highlight w:val="none"/>
          <w:lang w:val="en-US" w:eastAsia="zh-CN"/>
        </w:rPr>
        <w:fldChar w:fldCharType="separate"/>
      </w:r>
      <w:r>
        <w:rPr>
          <w:rFonts w:hint="eastAsia" w:ascii="宋体" w:hAnsi="宋体" w:cs="宋体"/>
          <w:bCs/>
          <w:color w:val="auto"/>
          <w:sz w:val="24"/>
          <w:highlight w:val="none"/>
          <w:lang w:val="en-US" w:eastAsia="zh-CN"/>
        </w:rPr>
        <w:t>凡有意参加的投标人，请将以下资料加盖公章的扫描件发送</w:t>
      </w:r>
      <w:r>
        <w:rPr>
          <w:rFonts w:hint="eastAsia" w:ascii="宋体" w:hAnsi="宋体" w:cs="宋体"/>
          <w:b/>
          <w:bCs w:val="0"/>
          <w:color w:val="auto"/>
          <w:sz w:val="24"/>
          <w:highlight w:val="none"/>
          <w:lang w:val="en-US" w:eastAsia="zh-CN"/>
        </w:rPr>
        <w:t>至1172012159@qq.com邮箱</w:t>
      </w:r>
      <w:r>
        <w:rPr>
          <w:rFonts w:hint="eastAsia" w:ascii="宋体" w:hAnsi="宋体" w:cs="宋体"/>
          <w:bCs/>
          <w:color w:val="auto"/>
          <w:sz w:val="24"/>
          <w:highlight w:val="none"/>
          <w:lang w:val="en-US" w:eastAsia="zh-CN"/>
        </w:rPr>
        <w:t>获取</w:t>
      </w:r>
      <w:r>
        <w:rPr>
          <w:rFonts w:hint="eastAsia" w:ascii="宋体" w:hAnsi="宋体" w:cs="宋体"/>
          <w:bCs/>
          <w:color w:val="auto"/>
          <w:sz w:val="24"/>
          <w:highlight w:val="none"/>
          <w:lang w:val="en-US" w:eastAsia="zh-CN"/>
        </w:rPr>
        <w:fldChar w:fldCharType="end"/>
      </w:r>
      <w:r>
        <w:rPr>
          <w:rFonts w:hint="eastAsia" w:ascii="宋体" w:hAnsi="宋体" w:cs="宋体"/>
          <w:bCs/>
          <w:color w:val="auto"/>
          <w:sz w:val="24"/>
          <w:highlight w:val="none"/>
          <w:lang w:val="en-US" w:eastAsia="zh-CN"/>
        </w:rPr>
        <w:t>招标文件：</w:t>
      </w:r>
    </w:p>
    <w:p>
      <w:pPr>
        <w:widowControl/>
        <w:spacing w:line="360" w:lineRule="auto"/>
        <w:jc w:val="left"/>
        <w:rPr>
          <w:rFonts w:hint="eastAsia" w:ascii="宋体" w:hAnsi="宋体" w:cs="宋体"/>
          <w:bCs/>
          <w:color w:val="auto"/>
          <w:sz w:val="24"/>
          <w:highlight w:val="none"/>
          <w:lang w:val="en-US" w:eastAsia="zh-CN"/>
        </w:rPr>
      </w:pPr>
      <w:bookmarkStart w:id="19" w:name="_Toc28359005"/>
      <w:bookmarkStart w:id="20" w:name="_Toc28359082"/>
      <w:bookmarkStart w:id="21" w:name="_Toc35393624"/>
      <w:bookmarkStart w:id="22" w:name="_Toc35393793"/>
      <w:r>
        <w:rPr>
          <w:rFonts w:hint="eastAsia" w:ascii="宋体" w:hAnsi="宋体" w:cs="宋体"/>
          <w:bCs/>
          <w:color w:val="auto"/>
          <w:sz w:val="24"/>
          <w:highlight w:val="none"/>
          <w:lang w:val="en-US" w:eastAsia="zh-CN"/>
        </w:rPr>
        <w:t>（1）营业执照副本（或相关证明材料）</w:t>
      </w:r>
    </w:p>
    <w:p>
      <w:pPr>
        <w:widowControl/>
        <w:spacing w:line="360" w:lineRule="auto"/>
        <w:jc w:val="left"/>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（2）法人身份证明书或法人授权委托书</w:t>
      </w:r>
    </w:p>
    <w:p>
      <w:pPr>
        <w:widowControl/>
        <w:spacing w:line="360" w:lineRule="auto"/>
        <w:jc w:val="left"/>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（3）法定代表人及被授权人身份证</w:t>
      </w:r>
    </w:p>
    <w:p>
      <w:pPr>
        <w:widowControl/>
        <w:spacing w:line="360" w:lineRule="auto"/>
        <w:jc w:val="left"/>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（4）领取招标文件确认表（见附件）</w:t>
      </w:r>
    </w:p>
    <w:p>
      <w:pPr>
        <w:widowControl/>
        <w:spacing w:line="360" w:lineRule="auto"/>
        <w:jc w:val="left"/>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注：法人身份证明书或法人授权委托书请注明项目名称、标段信息、被授权人、联系电话，未注明信息导致无法取得联系的，后果自负。</w:t>
      </w:r>
    </w:p>
    <w:p>
      <w:pPr>
        <w:pStyle w:val="4"/>
        <w:spacing w:line="360" w:lineRule="auto"/>
        <w:rPr>
          <w:rFonts w:hint="default" w:ascii="宋体" w:hAnsi="宋体" w:eastAsia="宋体" w:cs="宋体"/>
          <w:b w:val="0"/>
          <w:color w:val="auto"/>
          <w:sz w:val="24"/>
          <w:szCs w:val="24"/>
          <w:highlight w:val="none"/>
        </w:rPr>
      </w:pPr>
      <w:r>
        <w:rPr>
          <w:rFonts w:ascii="宋体" w:hAnsi="宋体" w:eastAsia="宋体" w:cs="宋体"/>
          <w:b w:val="0"/>
          <w:color w:val="auto"/>
          <w:sz w:val="24"/>
          <w:szCs w:val="24"/>
          <w:highlight w:val="none"/>
        </w:rPr>
        <w:t>四、提交投标文件</w:t>
      </w:r>
      <w:bookmarkEnd w:id="19"/>
      <w:bookmarkEnd w:id="20"/>
      <w:r>
        <w:rPr>
          <w:rFonts w:ascii="宋体" w:hAnsi="宋体" w:eastAsia="宋体" w:cs="宋体"/>
          <w:b w:val="0"/>
          <w:color w:val="auto"/>
          <w:sz w:val="24"/>
          <w:szCs w:val="24"/>
          <w:highlight w:val="none"/>
        </w:rPr>
        <w:t>截止时间、开标时间和地点</w:t>
      </w:r>
      <w:bookmarkEnd w:id="21"/>
      <w:bookmarkEnd w:id="22"/>
    </w:p>
    <w:p>
      <w:pPr>
        <w:spacing w:line="360" w:lineRule="auto"/>
        <w:rPr>
          <w:rFonts w:hint="eastAsia" w:ascii="宋体" w:hAnsi="宋体" w:cs="宋体"/>
          <w:bCs/>
          <w:color w:val="auto"/>
          <w:sz w:val="24"/>
          <w:highlight w:val="none"/>
          <w:lang w:val="en-US" w:eastAsia="zh-CN"/>
        </w:rPr>
      </w:pPr>
      <w:r>
        <w:rPr>
          <w:rFonts w:hint="eastAsia" w:ascii="宋体" w:hAnsi="宋体" w:cs="宋体"/>
          <w:bCs/>
          <w:color w:val="auto"/>
          <w:sz w:val="24"/>
          <w:highlight w:val="none"/>
        </w:rPr>
        <w:t>4.1提交投标文件截止时间（开标时间）：</w:t>
      </w:r>
      <w:r>
        <w:rPr>
          <w:rFonts w:hint="eastAsia" w:ascii="宋体" w:hAnsi="宋体" w:cs="宋体"/>
          <w:color w:val="auto"/>
          <w:sz w:val="24"/>
          <w:highlight w:val="none"/>
          <w:lang w:val="en-US" w:eastAsia="zh-CN"/>
        </w:rPr>
        <w:t>第1-6标段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25</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第7-12标段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26</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第13-18标段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28</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第19-24标段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29</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第25-30标段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07</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第31-36标段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第37-42标段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w:t>
      </w:r>
      <w:r>
        <w:rPr>
          <w:rFonts w:hint="eastAsia" w:ascii="宋体" w:hAnsi="宋体" w:cs="宋体"/>
          <w:bCs/>
          <w:color w:val="auto"/>
          <w:sz w:val="24"/>
          <w:highlight w:val="none"/>
          <w:lang w:val="en-US" w:eastAsia="zh-CN"/>
        </w:rPr>
        <w:t>开标。</w:t>
      </w:r>
    </w:p>
    <w:p>
      <w:pPr>
        <w:spacing w:line="360" w:lineRule="auto"/>
        <w:rPr>
          <w:rFonts w:hint="eastAsia" w:ascii="宋体" w:hAnsi="宋体" w:cs="宋体"/>
          <w:bCs/>
          <w:color w:val="auto"/>
          <w:sz w:val="24"/>
          <w:highlight w:val="none"/>
          <w:lang w:val="en-US" w:eastAsia="zh-CN"/>
        </w:rPr>
      </w:pPr>
      <w:r>
        <w:rPr>
          <w:rFonts w:hint="eastAsia" w:ascii="宋体" w:hAnsi="宋体" w:cs="宋体"/>
          <w:bCs/>
          <w:color w:val="auto"/>
          <w:sz w:val="24"/>
          <w:highlight w:val="none"/>
        </w:rPr>
        <w:t>4.2地点：</w:t>
      </w:r>
      <w:r>
        <w:rPr>
          <w:rFonts w:hint="eastAsia" w:ascii="宋体" w:hAnsi="宋体" w:cs="宋体"/>
          <w:bCs/>
          <w:color w:val="auto"/>
          <w:sz w:val="24"/>
          <w:highlight w:val="none"/>
          <w:lang w:eastAsia="zh-CN"/>
        </w:rPr>
        <w:t>东北亚国际金融中心（人民大街与谊民路交汇东行100米）3号楼1楼（仅开放东门、从东门进入）</w:t>
      </w:r>
    </w:p>
    <w:p>
      <w:pPr>
        <w:pStyle w:val="4"/>
        <w:spacing w:line="360" w:lineRule="auto"/>
        <w:rPr>
          <w:rFonts w:hint="default" w:ascii="宋体" w:hAnsi="宋体" w:eastAsia="宋体" w:cs="宋体"/>
          <w:b w:val="0"/>
          <w:color w:val="auto"/>
          <w:sz w:val="24"/>
          <w:szCs w:val="24"/>
          <w:highlight w:val="none"/>
        </w:rPr>
      </w:pPr>
      <w:bookmarkStart w:id="23" w:name="_Toc28359084"/>
      <w:bookmarkStart w:id="24" w:name="_Toc35393794"/>
      <w:bookmarkStart w:id="25" w:name="_Toc35393625"/>
      <w:bookmarkStart w:id="26" w:name="_Toc28359007"/>
      <w:r>
        <w:rPr>
          <w:rFonts w:ascii="宋体" w:hAnsi="宋体" w:eastAsia="宋体" w:cs="宋体"/>
          <w:b w:val="0"/>
          <w:color w:val="auto"/>
          <w:sz w:val="24"/>
          <w:szCs w:val="24"/>
          <w:highlight w:val="none"/>
        </w:rPr>
        <w:t>五、公告期限</w:t>
      </w:r>
      <w:bookmarkEnd w:id="23"/>
      <w:bookmarkEnd w:id="24"/>
      <w:bookmarkEnd w:id="25"/>
      <w:bookmarkEnd w:id="26"/>
    </w:p>
    <w:p>
      <w:pPr>
        <w:spacing w:line="360" w:lineRule="auto"/>
        <w:ind w:firstLine="480" w:firstLineChars="200"/>
        <w:rPr>
          <w:rFonts w:ascii="宋体" w:hAnsi="宋体" w:cs="宋体"/>
          <w:bCs/>
          <w:color w:val="auto"/>
          <w:kern w:val="0"/>
          <w:sz w:val="24"/>
          <w:highlight w:val="none"/>
        </w:rPr>
      </w:pPr>
      <w:r>
        <w:rPr>
          <w:rFonts w:hint="eastAsia" w:ascii="宋体" w:hAnsi="宋体" w:cs="宋体"/>
          <w:bCs/>
          <w:color w:val="auto"/>
          <w:kern w:val="0"/>
          <w:sz w:val="24"/>
          <w:highlight w:val="none"/>
        </w:rPr>
        <w:t>自本公告发布之日起5个工作日。</w:t>
      </w:r>
    </w:p>
    <w:p>
      <w:pPr>
        <w:pStyle w:val="4"/>
        <w:spacing w:line="360" w:lineRule="auto"/>
        <w:rPr>
          <w:rFonts w:ascii="宋体" w:hAnsi="宋体" w:cs="宋体"/>
          <w:bCs/>
          <w:color w:val="auto"/>
          <w:sz w:val="24"/>
          <w:szCs w:val="24"/>
          <w:highlight w:val="none"/>
        </w:rPr>
      </w:pPr>
      <w:bookmarkStart w:id="27" w:name="_Toc35393795"/>
      <w:bookmarkStart w:id="28" w:name="_Toc35393626"/>
      <w:r>
        <w:rPr>
          <w:rFonts w:ascii="宋体" w:hAnsi="宋体" w:eastAsia="宋体" w:cs="宋体"/>
          <w:b w:val="0"/>
          <w:color w:val="auto"/>
          <w:sz w:val="24"/>
          <w:szCs w:val="24"/>
          <w:highlight w:val="none"/>
        </w:rPr>
        <w:t>六、其他补充事宜</w:t>
      </w:r>
      <w:bookmarkEnd w:id="27"/>
      <w:bookmarkEnd w:id="28"/>
    </w:p>
    <w:p>
      <w:pPr>
        <w:pStyle w:val="4"/>
        <w:widowControl/>
        <w:autoSpaceDE w:val="0"/>
        <w:autoSpaceDN w:val="0"/>
        <w:spacing w:line="360" w:lineRule="auto"/>
        <w:textAlignment w:val="bottom"/>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1.</w:t>
      </w:r>
      <w:r>
        <w:rPr>
          <w:rFonts w:ascii="宋体" w:hAnsi="宋体" w:eastAsia="宋体" w:cs="宋体"/>
          <w:b w:val="0"/>
          <w:color w:val="auto"/>
          <w:sz w:val="24"/>
          <w:szCs w:val="24"/>
          <w:highlight w:val="none"/>
        </w:rPr>
        <w:t>发布招标公告媒体：中国政府采购网、</w:t>
      </w:r>
      <w:r>
        <w:rPr>
          <w:rFonts w:hint="eastAsia" w:ascii="宋体" w:hAnsi="宋体" w:eastAsia="宋体" w:cs="宋体"/>
          <w:b w:val="0"/>
          <w:color w:val="auto"/>
          <w:sz w:val="24"/>
          <w:szCs w:val="24"/>
          <w:highlight w:val="none"/>
          <w:lang w:val="en-US" w:eastAsia="zh-CN"/>
        </w:rPr>
        <w:t>中国采购与招标网、</w:t>
      </w:r>
      <w:r>
        <w:rPr>
          <w:rFonts w:ascii="宋体" w:hAnsi="宋体" w:eastAsia="宋体" w:cs="宋体"/>
          <w:b w:val="0"/>
          <w:color w:val="auto"/>
          <w:sz w:val="24"/>
          <w:szCs w:val="24"/>
          <w:highlight w:val="none"/>
        </w:rPr>
        <w:t>中国财经报网</w:t>
      </w:r>
      <w:r>
        <w:rPr>
          <w:rFonts w:hint="eastAsia" w:ascii="宋体" w:hAnsi="宋体" w:eastAsia="宋体" w:cs="宋体"/>
          <w:b w:val="0"/>
          <w:color w:val="auto"/>
          <w:sz w:val="24"/>
          <w:szCs w:val="24"/>
          <w:highlight w:val="none"/>
          <w:lang w:eastAsia="zh-CN"/>
        </w:rPr>
        <w:t>。</w:t>
      </w:r>
    </w:p>
    <w:p>
      <w:pPr>
        <w:pStyle w:val="34"/>
        <w:numPr>
          <w:ilvl w:val="255"/>
          <w:numId w:val="0"/>
        </w:num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采购项目需要落实的政府采购政策:《政府采购促进中小企业发展管理办法》（财库[2020]46号）</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关于政府采购支持监狱企业发展有关问题的通知》(财库[2014]68号)、《关于促进残疾人就业政府采购政策的通知》(财库[2017]141号)、《关于调整优化节能产品、环境标志产品政府采购执行机制的通知》(财库[2019]9号)、《关于运用政府采购政策支持脱贫攻坚的通知》（财库〔2019〕27号）</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《关于进一步加大政府采购支持中小企业力度的通知》财库【2022】19号等相关政策文件。</w:t>
      </w:r>
    </w:p>
    <w:p>
      <w:pPr>
        <w:pStyle w:val="4"/>
        <w:spacing w:line="360" w:lineRule="auto"/>
        <w:rPr>
          <w:rFonts w:hint="default" w:ascii="宋体" w:hAnsi="宋体" w:eastAsia="宋体" w:cs="宋体"/>
          <w:b w:val="0"/>
          <w:color w:val="auto"/>
          <w:sz w:val="24"/>
          <w:szCs w:val="24"/>
          <w:highlight w:val="none"/>
        </w:rPr>
      </w:pPr>
      <w:bookmarkStart w:id="29" w:name="_Toc35393796"/>
      <w:bookmarkStart w:id="30" w:name="_Toc35393627"/>
      <w:bookmarkStart w:id="31" w:name="_Toc28359008"/>
      <w:bookmarkStart w:id="32" w:name="_Toc28359085"/>
      <w:r>
        <w:rPr>
          <w:rFonts w:hint="eastAsia" w:ascii="宋体" w:hAnsi="宋体" w:eastAsia="宋体" w:cs="宋体"/>
          <w:b w:val="0"/>
          <w:color w:val="auto"/>
          <w:sz w:val="24"/>
          <w:szCs w:val="24"/>
          <w:highlight w:val="none"/>
          <w:lang w:val="en-US" w:eastAsia="zh-CN"/>
        </w:rPr>
        <w:t>七、</w:t>
      </w:r>
      <w:r>
        <w:rPr>
          <w:rFonts w:ascii="宋体" w:hAnsi="宋体" w:eastAsia="宋体" w:cs="宋体"/>
          <w:b w:val="0"/>
          <w:color w:val="auto"/>
          <w:sz w:val="24"/>
          <w:szCs w:val="24"/>
          <w:highlight w:val="none"/>
        </w:rPr>
        <w:t>对本次招标提出询问，请按以下方式联系。</w:t>
      </w:r>
      <w:bookmarkEnd w:id="29"/>
      <w:bookmarkEnd w:id="30"/>
      <w:bookmarkEnd w:id="31"/>
      <w:bookmarkEnd w:id="32"/>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1.采购人信息</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auto"/>
          <w:sz w:val="24"/>
          <w:highlight w:val="none"/>
        </w:rPr>
      </w:pPr>
      <w:bookmarkStart w:id="33" w:name="_Toc28359009"/>
      <w:bookmarkStart w:id="34" w:name="_Toc28359086"/>
      <w:r>
        <w:rPr>
          <w:rFonts w:hint="eastAsia" w:ascii="宋体" w:hAnsi="宋体" w:cs="宋体"/>
          <w:color w:val="auto"/>
          <w:sz w:val="24"/>
          <w:highlight w:val="none"/>
        </w:rPr>
        <w:t>采购单位名称：吉林省消防救援总队</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采购单位地址：吉林省长春市二道区自由大路6699号</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 xml:space="preserve">采购单位联系人：吴忪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 xml:space="preserve">联系电话：0431-84895193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2.采购代理机构信息</w:t>
      </w:r>
      <w:bookmarkEnd w:id="33"/>
      <w:bookmarkEnd w:id="34"/>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bookmarkStart w:id="35" w:name="_Toc28359010"/>
      <w:bookmarkStart w:id="36" w:name="_Toc28359087"/>
      <w:r>
        <w:rPr>
          <w:rFonts w:hint="eastAsia" w:ascii="宋体" w:hAnsi="宋体" w:cs="宋体"/>
          <w:color w:val="auto"/>
          <w:sz w:val="24"/>
          <w:highlight w:val="none"/>
        </w:rPr>
        <w:t>采购代理机构：</w:t>
      </w:r>
      <w:r>
        <w:rPr>
          <w:rFonts w:hint="eastAsia" w:ascii="宋体" w:hAnsi="宋体" w:cs="宋体"/>
          <w:color w:val="auto"/>
          <w:sz w:val="24"/>
          <w:highlight w:val="none"/>
          <w:lang w:eastAsia="zh-CN"/>
        </w:rPr>
        <w:t>中峪国际项目管理有限公司</w:t>
      </w:r>
      <w:r>
        <w:rPr>
          <w:rFonts w:hint="eastAsia" w:ascii="宋体" w:hAnsi="宋体" w:cs="宋体"/>
          <w:color w:val="auto"/>
          <w:sz w:val="24"/>
          <w:highlight w:val="none"/>
        </w:rPr>
        <w:t xml:space="preserve"> </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地    址：</w:t>
      </w:r>
      <w:r>
        <w:rPr>
          <w:rFonts w:hint="eastAsia" w:ascii="宋体" w:hAnsi="宋体" w:cs="宋体"/>
          <w:color w:val="auto"/>
          <w:sz w:val="24"/>
          <w:highlight w:val="none"/>
          <w:lang w:eastAsia="zh-CN"/>
        </w:rPr>
        <w:t>长春市经开区浦东路12号虹湾国际A座15层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17767728616、18686601880</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highlight w:val="none"/>
          <w:u w:val="single"/>
        </w:rPr>
      </w:pPr>
      <w:r>
        <w:rPr>
          <w:rFonts w:hint="eastAsia" w:ascii="宋体" w:hAnsi="宋体" w:cs="宋体"/>
          <w:color w:val="auto"/>
          <w:sz w:val="24"/>
          <w:highlight w:val="none"/>
        </w:rPr>
        <w:t>3.项目联系方式</w:t>
      </w:r>
      <w:bookmarkEnd w:id="35"/>
      <w:bookmarkEnd w:id="36"/>
    </w:p>
    <w:p>
      <w:pPr>
        <w:pStyle w:val="1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hAnsi="宋体" w:eastAsia="宋体" w:cs="宋体"/>
          <w:color w:val="auto"/>
          <w:sz w:val="24"/>
          <w:szCs w:val="24"/>
          <w:highlight w:val="none"/>
          <w:lang w:eastAsia="zh-CN"/>
        </w:rPr>
      </w:pPr>
      <w:r>
        <w:rPr>
          <w:rFonts w:hAnsi="宋体" w:cs="宋体"/>
          <w:color w:val="auto"/>
          <w:sz w:val="24"/>
          <w:szCs w:val="24"/>
          <w:highlight w:val="none"/>
        </w:rPr>
        <w:t>项目联系人：</w:t>
      </w:r>
      <w:r>
        <w:rPr>
          <w:rFonts w:hint="eastAsia" w:hAnsi="宋体" w:cs="宋体"/>
          <w:color w:val="auto"/>
          <w:sz w:val="24"/>
          <w:szCs w:val="24"/>
          <w:highlight w:val="none"/>
        </w:rPr>
        <w:t>袁新桐、梁雪、刘诗杭</w:t>
      </w:r>
    </w:p>
    <w:p>
      <w:pPr>
        <w:spacing w:line="240" w:lineRule="auto"/>
        <w:ind w:firstLine="480" w:firstLineChars="200"/>
        <w:jc w:val="left"/>
        <w:rPr>
          <w:rFonts w:hint="eastAsia" w:eastAsia="宋体"/>
          <w:color w:val="auto"/>
          <w:highlight w:val="none"/>
          <w:lang w:val="en-US" w:eastAsia="zh-CN"/>
        </w:rPr>
      </w:pPr>
      <w:r>
        <w:rPr>
          <w:rFonts w:hint="eastAsia" w:ascii="宋体" w:hAnsi="宋体" w:cs="宋体"/>
          <w:color w:val="auto"/>
          <w:sz w:val="24"/>
          <w:highlight w:val="none"/>
        </w:rPr>
        <w:t>电　话：</w:t>
      </w:r>
      <w:r>
        <w:rPr>
          <w:rFonts w:hint="eastAsia" w:ascii="宋体" w:hAnsi="宋体" w:cs="宋体"/>
          <w:color w:val="auto"/>
          <w:sz w:val="24"/>
          <w:highlight w:val="none"/>
          <w:lang w:val="en-US" w:eastAsia="zh-CN"/>
        </w:rPr>
        <w:t>17767728616、18686601880</w:t>
      </w:r>
    </w:p>
    <w:p>
      <w:pPr>
        <w:spacing w:line="240" w:lineRule="auto"/>
        <w:ind w:firstLine="420" w:firstLineChars="200"/>
        <w:jc w:val="left"/>
        <w:rPr>
          <w:rFonts w:hint="eastAsia" w:ascii="宋体" w:hAnsi="宋体" w:eastAsia="宋体" w:cs="宋体"/>
          <w:color w:val="auto"/>
          <w:highlight w:val="none"/>
          <w:lang w:val="en-US" w:eastAsia="zh-CN"/>
        </w:rPr>
      </w:pPr>
    </w:p>
    <w:p>
      <w:pPr>
        <w:pStyle w:val="2"/>
        <w:ind w:firstLine="360" w:firstLineChars="200"/>
        <w:rPr>
          <w:rFonts w:hint="eastAsia" w:ascii="宋体" w:hAnsi="宋体" w:eastAsia="宋体" w:cs="宋体"/>
          <w:color w:val="auto"/>
          <w:highlight w:val="none"/>
        </w:rPr>
      </w:pPr>
    </w:p>
    <w:p>
      <w:pPr>
        <w:spacing w:line="240" w:lineRule="auto"/>
        <w:jc w:val="left"/>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240" w:lineRule="auto"/>
        <w:jc w:val="left"/>
        <w:rPr>
          <w:rFonts w:hint="eastAsia" w:ascii="宋体" w:hAnsi="宋体" w:eastAsia="宋体" w:cs="宋体"/>
          <w:b/>
          <w:color w:val="auto"/>
          <w:sz w:val="36"/>
          <w:szCs w:val="36"/>
          <w:highlight w:val="none"/>
        </w:rPr>
      </w:pPr>
    </w:p>
    <w:p>
      <w:pPr>
        <w:spacing w:line="360" w:lineRule="auto"/>
        <w:jc w:val="center"/>
        <w:outlineLvl w:val="0"/>
        <w:rPr>
          <w:rFonts w:hint="eastAsia" w:ascii="宋体" w:hAnsi="宋体" w:eastAsia="宋体" w:cs="宋体"/>
          <w:b/>
          <w:color w:val="auto"/>
          <w:sz w:val="36"/>
          <w:szCs w:val="36"/>
          <w:highlight w:val="none"/>
          <w:lang w:eastAsia="zh-CN"/>
        </w:rPr>
      </w:pPr>
      <w:bookmarkStart w:id="37" w:name="_Toc32539"/>
      <w:r>
        <w:rPr>
          <w:rFonts w:hint="eastAsia" w:ascii="宋体" w:hAnsi="宋体" w:eastAsia="宋体" w:cs="宋体"/>
          <w:b/>
          <w:color w:val="auto"/>
          <w:sz w:val="36"/>
          <w:szCs w:val="36"/>
          <w:highlight w:val="none"/>
        </w:rPr>
        <w:t>第二章</w:t>
      </w: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投标人须知</w:t>
      </w:r>
      <w:r>
        <w:rPr>
          <w:rFonts w:hint="eastAsia" w:ascii="宋体" w:hAnsi="宋体" w:eastAsia="宋体" w:cs="宋体"/>
          <w:b/>
          <w:color w:val="auto"/>
          <w:sz w:val="36"/>
          <w:szCs w:val="36"/>
          <w:highlight w:val="none"/>
          <w:lang w:eastAsia="zh-CN"/>
        </w:rPr>
        <w:t>前附表</w:t>
      </w:r>
      <w:bookmarkEnd w:id="37"/>
    </w:p>
    <w:p>
      <w:pPr>
        <w:spacing w:line="360" w:lineRule="exact"/>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本表的内容是对投标人须知的具体补充，如有矛盾，以本表为准。</w:t>
      </w:r>
    </w:p>
    <w:tbl>
      <w:tblPr>
        <w:tblStyle w:val="24"/>
        <w:tblW w:w="103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04"/>
        <w:gridCol w:w="1456"/>
        <w:gridCol w:w="81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2160" w:type="dxa"/>
            <w:gridSpan w:val="2"/>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条款号</w:t>
            </w:r>
          </w:p>
        </w:tc>
        <w:tc>
          <w:tcPr>
            <w:tcW w:w="8169" w:type="dxa"/>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7" w:hRule="atLeast"/>
          <w:jc w:val="center"/>
        </w:trPr>
        <w:tc>
          <w:tcPr>
            <w:tcW w:w="2160" w:type="dxa"/>
            <w:gridSpan w:val="2"/>
            <w:tcBorders>
              <w:bottom w:val="single" w:color="auto" w:sz="4" w:space="0"/>
            </w:tcBorders>
            <w:vAlign w:val="center"/>
          </w:tcPr>
          <w:p>
            <w:pPr>
              <w:spacing w:line="360" w:lineRule="exact"/>
              <w:ind w:firstLine="480" w:firstLineChars="20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项目</w:t>
            </w:r>
            <w:r>
              <w:rPr>
                <w:rFonts w:hint="eastAsia" w:ascii="宋体" w:hAnsi="宋体" w:cs="宋体"/>
                <w:b w:val="0"/>
                <w:bCs w:val="0"/>
                <w:color w:val="auto"/>
                <w:sz w:val="24"/>
                <w:highlight w:val="none"/>
                <w:lang w:val="en-US" w:eastAsia="zh-CN"/>
              </w:rPr>
              <w:t>标段</w:t>
            </w:r>
            <w:r>
              <w:rPr>
                <w:rFonts w:hint="eastAsia" w:ascii="宋体" w:hAnsi="宋体" w:eastAsia="宋体" w:cs="宋体"/>
                <w:b w:val="0"/>
                <w:bCs w:val="0"/>
                <w:color w:val="auto"/>
                <w:sz w:val="24"/>
                <w:highlight w:val="none"/>
              </w:rPr>
              <w:t>名称</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val="en-US" w:eastAsia="zh-CN"/>
              </w:rPr>
              <w:t xml:space="preserve">吉林省消防救援总队“自然灾害应急能力提升工程”装备配备项目（防护攻坚装备）  </w:t>
            </w:r>
            <w:r>
              <w:rPr>
                <w:rFonts w:hint="eastAsia" w:ascii="宋体" w:hAnsi="宋体" w:eastAsia="宋体" w:cs="宋体"/>
                <w:b w:val="0"/>
                <w:bCs w:val="0"/>
                <w:color w:val="auto"/>
                <w:sz w:val="24"/>
                <w:highlight w:val="none"/>
                <w:lang w:eastAsia="zh-CN"/>
              </w:rPr>
              <w:t>第</w:t>
            </w:r>
            <w:r>
              <w:rPr>
                <w:rFonts w:hint="eastAsia" w:ascii="宋体" w:hAnsi="宋体" w:eastAsia="宋体" w:cs="宋体"/>
                <w:b w:val="0"/>
                <w:bCs w:val="0"/>
                <w:color w:val="auto"/>
                <w:sz w:val="24"/>
                <w:highlight w:val="none"/>
                <w:lang w:val="en-US" w:eastAsia="zh-CN"/>
              </w:rPr>
              <w:t>二十</w:t>
            </w:r>
            <w:r>
              <w:rPr>
                <w:rFonts w:hint="eastAsia" w:ascii="宋体" w:hAnsi="宋体" w:cs="宋体"/>
                <w:b w:val="0"/>
                <w:bCs w:val="0"/>
                <w:color w:val="auto"/>
                <w:sz w:val="24"/>
                <w:highlight w:val="none"/>
                <w:lang w:val="en-US" w:eastAsia="zh-CN"/>
              </w:rPr>
              <w:t>九</w:t>
            </w:r>
            <w:r>
              <w:rPr>
                <w:rFonts w:hint="eastAsia" w:ascii="宋体" w:hAnsi="宋体" w:eastAsia="宋体" w:cs="宋体"/>
                <w:b w:val="0"/>
                <w:bCs w:val="0"/>
                <w:color w:val="auto"/>
                <w:sz w:val="24"/>
                <w:highlight w:val="none"/>
                <w:lang w:eastAsia="zh-CN"/>
              </w:rPr>
              <w:t>标段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2160" w:type="dxa"/>
            <w:gridSpan w:val="2"/>
            <w:tcBorders>
              <w:top w:val="single" w:color="auto" w:sz="4" w:space="0"/>
            </w:tcBorders>
            <w:vAlign w:val="center"/>
          </w:tcPr>
          <w:p>
            <w:pPr>
              <w:spacing w:line="360" w:lineRule="exact"/>
              <w:ind w:firstLine="480" w:firstLineChars="20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lang w:eastAsia="zh-CN"/>
              </w:rPr>
              <w:t>项目</w:t>
            </w:r>
            <w:r>
              <w:rPr>
                <w:rFonts w:hint="eastAsia" w:ascii="宋体" w:hAnsi="宋体" w:cs="宋体"/>
                <w:b w:val="0"/>
                <w:bCs w:val="0"/>
                <w:color w:val="auto"/>
                <w:sz w:val="24"/>
                <w:highlight w:val="none"/>
                <w:lang w:val="en-US" w:eastAsia="zh-CN"/>
              </w:rPr>
              <w:t>标段</w:t>
            </w:r>
            <w:r>
              <w:rPr>
                <w:rFonts w:hint="eastAsia" w:ascii="宋体" w:hAnsi="宋体" w:eastAsia="宋体" w:cs="宋体"/>
                <w:b w:val="0"/>
                <w:bCs w:val="0"/>
                <w:color w:val="auto"/>
                <w:sz w:val="24"/>
                <w:highlight w:val="none"/>
              </w:rPr>
              <w:t>编号</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ZYGJ-CZHW-2436-29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资金来源</w:t>
            </w:r>
            <w:r>
              <w:rPr>
                <w:rFonts w:hint="eastAsia" w:ascii="宋体" w:hAnsi="宋体" w:cs="宋体"/>
                <w:b w:val="0"/>
                <w:bCs w:val="0"/>
                <w:color w:val="auto"/>
                <w:sz w:val="24"/>
                <w:highlight w:val="none"/>
                <w:lang w:eastAsia="zh-CN"/>
              </w:rPr>
              <w:t>、</w:t>
            </w:r>
            <w:r>
              <w:rPr>
                <w:rFonts w:hint="eastAsia" w:ascii="宋体" w:hAnsi="宋体" w:cs="宋体"/>
                <w:b w:val="0"/>
                <w:bCs w:val="0"/>
                <w:color w:val="auto"/>
                <w:sz w:val="24"/>
                <w:highlight w:val="none"/>
                <w:lang w:val="en-US" w:eastAsia="zh-CN"/>
              </w:rPr>
              <w:t>出资比例及落实情况</w:t>
            </w:r>
          </w:p>
        </w:tc>
        <w:tc>
          <w:tcPr>
            <w:tcW w:w="8169" w:type="dxa"/>
            <w:vAlign w:val="center"/>
          </w:tcPr>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sz w:val="24"/>
                <w:highlight w:val="none"/>
                <w:lang w:eastAsia="zh-CN"/>
              </w:rPr>
              <w:t>财政资金</w:t>
            </w:r>
            <w:r>
              <w:rPr>
                <w:rFonts w:hint="eastAsia" w:ascii="宋体" w:hAnsi="宋体" w:cs="宋体"/>
                <w:b w:val="0"/>
                <w:bCs w:val="0"/>
                <w:color w:val="auto"/>
                <w:sz w:val="24"/>
                <w:highlight w:val="none"/>
                <w:lang w:val="en-US" w:eastAsia="zh-CN"/>
              </w:rPr>
              <w:t>，100%，已落实。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采购人</w:t>
            </w:r>
          </w:p>
        </w:tc>
        <w:tc>
          <w:tcPr>
            <w:tcW w:w="8169" w:type="dxa"/>
            <w:vAlign w:val="center"/>
          </w:tcPr>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吉林省消防救援总队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7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3</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采购代理机构</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采购代理机构：</w:t>
            </w:r>
            <w:r>
              <w:rPr>
                <w:rFonts w:hint="eastAsia" w:ascii="宋体" w:hAnsi="宋体" w:eastAsia="宋体" w:cs="宋体"/>
                <w:color w:val="auto"/>
                <w:sz w:val="24"/>
                <w:highlight w:val="none"/>
                <w:lang w:eastAsia="zh-CN"/>
              </w:rPr>
              <w:t>中峪国际项目管理有限公司</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本项目联系地址：</w:t>
            </w:r>
            <w:r>
              <w:rPr>
                <w:rFonts w:hint="eastAsia" w:ascii="宋体" w:hAnsi="宋体" w:eastAsia="宋体" w:cs="宋体"/>
                <w:color w:val="auto"/>
                <w:sz w:val="24"/>
                <w:highlight w:val="none"/>
                <w:lang w:eastAsia="zh-CN"/>
              </w:rPr>
              <w:t>长春市经开区浦东路12号虹湾国际A座15层</w:t>
            </w:r>
          </w:p>
          <w:p>
            <w:pPr>
              <w:spacing w:line="360" w:lineRule="exact"/>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rPr>
              <w:t>联系电话：</w:t>
            </w:r>
            <w:r>
              <w:rPr>
                <w:rFonts w:hint="eastAsia" w:ascii="宋体" w:hAnsi="宋体" w:eastAsia="宋体" w:cs="宋体"/>
                <w:color w:val="auto"/>
                <w:sz w:val="24"/>
                <w:highlight w:val="none"/>
                <w:lang w:eastAsia="zh-CN"/>
              </w:rPr>
              <w:t>17767728616 / 18686601880</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rPr>
              <w:t>联 系 人：袁新桐、梁雪、刘诗杭</w:t>
            </w:r>
          </w:p>
          <w:p>
            <w:pPr>
              <w:spacing w:line="360" w:lineRule="exact"/>
              <w:jc w:val="left"/>
              <w:rPr>
                <w:rFonts w:hint="eastAsia" w:ascii="宋体" w:hAnsi="宋体" w:eastAsia="宋体" w:cs="宋体"/>
                <w:b w:val="0"/>
                <w:bCs w:val="0"/>
                <w:i/>
                <w:iCs/>
                <w:color w:val="auto"/>
                <w:kern w:val="2"/>
                <w:sz w:val="24"/>
                <w:szCs w:val="24"/>
                <w:highlight w:val="none"/>
                <w:lang w:val="en-US" w:eastAsia="zh-CN" w:bidi="ar-SA"/>
              </w:rPr>
            </w:pPr>
            <w:r>
              <w:rPr>
                <w:rFonts w:hint="eastAsia" w:ascii="宋体" w:hAnsi="宋体" w:eastAsia="宋体" w:cs="宋体"/>
                <w:b w:val="0"/>
                <w:bCs w:val="0"/>
                <w:color w:val="auto"/>
                <w:sz w:val="24"/>
                <w:highlight w:val="none"/>
              </w:rPr>
              <w:t>电子邮件：</w:t>
            </w:r>
            <w:r>
              <w:rPr>
                <w:rFonts w:hint="eastAsia" w:ascii="宋体" w:hAnsi="宋体" w:eastAsia="宋体" w:cs="宋体"/>
                <w:b w:val="0"/>
                <w:bCs w:val="0"/>
                <w:color w:val="auto"/>
                <w:sz w:val="24"/>
                <w:highlight w:val="none"/>
                <w:lang w:val="en-US" w:eastAsia="zh-CN"/>
              </w:rPr>
              <w:t>805785499@qq.com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*投标人资格</w:t>
            </w:r>
          </w:p>
          <w:p>
            <w:pPr>
              <w:spacing w:line="3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 w:val="0"/>
                <w:bCs w:val="0"/>
                <w:color w:val="auto"/>
                <w:spacing w:val="6"/>
                <w:sz w:val="24"/>
                <w:highlight w:val="none"/>
              </w:rPr>
              <w:t>1.满足《中华人民共和国政府采购法》第二十二条规定</w:t>
            </w:r>
            <w:r>
              <w:rPr>
                <w:rFonts w:hint="eastAsia" w:ascii="宋体" w:hAnsi="宋体" w:eastAsia="宋体" w:cs="宋体"/>
                <w:b w:val="0"/>
                <w:bCs w:val="0"/>
                <w:color w:val="auto"/>
                <w:spacing w:val="6"/>
                <w:sz w:val="24"/>
                <w:highlight w:val="none"/>
                <w:lang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1）具有独立承担民事责任的能力；</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2）具有良好的商业信誉和健全的财务会计制度</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lang w:eastAsia="zh-CN"/>
              </w:rPr>
              <w:t>提供近三年（2020年-2022年）经会计师事务所出具的财务审计报告。（若投标人为2020年以后注册成立的公司，即需提供从成立日期起的财务审计报告；若投标人为2023年以后注册成立的公司，即需提供一份银行资信证明）</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3）具有履行合同所必需的设备和专业技术能力（可以提供类似业绩合同或者可以提供</w:t>
            </w:r>
            <w:r>
              <w:rPr>
                <w:rFonts w:hint="eastAsia" w:ascii="宋体" w:hAnsi="宋体" w:eastAsia="宋体" w:cs="宋体"/>
                <w:b w:val="0"/>
                <w:bCs w:val="0"/>
                <w:color w:val="auto"/>
                <w:spacing w:val="6"/>
                <w:sz w:val="24"/>
                <w:highlight w:val="none"/>
                <w:lang w:val="en-US" w:eastAsia="zh-CN"/>
              </w:rPr>
              <w:t>声明函&lt;</w:t>
            </w:r>
            <w:r>
              <w:rPr>
                <w:rFonts w:hint="eastAsia" w:ascii="宋体" w:hAnsi="宋体" w:eastAsia="宋体" w:cs="宋体"/>
                <w:b w:val="0"/>
                <w:bCs w:val="0"/>
                <w:color w:val="auto"/>
                <w:spacing w:val="6"/>
                <w:sz w:val="24"/>
                <w:highlight w:val="none"/>
              </w:rPr>
              <w:t>格式自拟</w:t>
            </w:r>
            <w:r>
              <w:rPr>
                <w:rFonts w:hint="eastAsia" w:ascii="宋体" w:hAnsi="宋体" w:eastAsia="宋体" w:cs="宋体"/>
                <w:b w:val="0"/>
                <w:bCs w:val="0"/>
                <w:color w:val="auto"/>
                <w:spacing w:val="6"/>
                <w:sz w:val="24"/>
                <w:highlight w:val="none"/>
                <w:lang w:val="en-US" w:eastAsia="zh-CN"/>
              </w:rPr>
              <w:t>&gt;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4）有依法缴纳税收和社会保障资金的良好记录</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lang w:eastAsia="zh-CN"/>
              </w:rPr>
              <w:t>提供近一年（2023年02月以后）任意两个月的依法缴纳税收</w:t>
            </w:r>
            <w:r>
              <w:rPr>
                <w:rFonts w:hint="eastAsia" w:ascii="宋体" w:hAnsi="宋体" w:eastAsia="宋体" w:cs="宋体"/>
                <w:b w:val="0"/>
                <w:bCs w:val="0"/>
                <w:color w:val="auto"/>
                <w:spacing w:val="6"/>
                <w:sz w:val="24"/>
                <w:highlight w:val="none"/>
                <w:lang w:val="en-US" w:eastAsia="zh-CN"/>
              </w:rPr>
              <w:t>记录</w:t>
            </w:r>
            <w:r>
              <w:rPr>
                <w:rFonts w:hint="eastAsia" w:ascii="宋体" w:hAnsi="宋体" w:eastAsia="宋体" w:cs="宋体"/>
                <w:b w:val="0"/>
                <w:bCs w:val="0"/>
                <w:color w:val="auto"/>
                <w:spacing w:val="6"/>
                <w:sz w:val="24"/>
                <w:highlight w:val="none"/>
                <w:lang w:eastAsia="zh-CN"/>
              </w:rPr>
              <w:t>和社会保障资金的相关材料（</w:t>
            </w:r>
            <w:r>
              <w:rPr>
                <w:rFonts w:hint="eastAsia" w:ascii="宋体" w:hAnsi="宋体" w:eastAsia="宋体" w:cs="宋体"/>
                <w:b w:val="0"/>
                <w:bCs w:val="0"/>
                <w:color w:val="auto"/>
                <w:spacing w:val="6"/>
                <w:sz w:val="24"/>
                <w:highlight w:val="none"/>
              </w:rPr>
              <w:t>依法免税的</w:t>
            </w:r>
            <w:r>
              <w:rPr>
                <w:rFonts w:hint="eastAsia" w:ascii="宋体" w:hAnsi="宋体" w:eastAsia="宋体" w:cs="宋体"/>
                <w:b w:val="0"/>
                <w:bCs w:val="0"/>
                <w:color w:val="auto"/>
                <w:spacing w:val="6"/>
                <w:sz w:val="24"/>
                <w:highlight w:val="none"/>
                <w:lang w:eastAsia="zh-CN"/>
              </w:rPr>
              <w:t>投标人</w:t>
            </w:r>
            <w:r>
              <w:rPr>
                <w:rFonts w:hint="eastAsia" w:ascii="宋体" w:hAnsi="宋体" w:eastAsia="宋体" w:cs="宋体"/>
                <w:b w:val="0"/>
                <w:bCs w:val="0"/>
                <w:color w:val="auto"/>
                <w:spacing w:val="6"/>
                <w:sz w:val="24"/>
                <w:highlight w:val="none"/>
              </w:rPr>
              <w:t>，应提供相应文件证明其依法免税）</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 w:val="0"/>
                <w:bCs w:val="0"/>
                <w:color w:val="auto"/>
                <w:spacing w:val="6"/>
                <w:sz w:val="24"/>
                <w:highlight w:val="none"/>
              </w:rPr>
              <w:t>5）参加政府采购活动前三年内在经营活动中没有重大违法记录的书面声明</w:t>
            </w:r>
            <w:r>
              <w:rPr>
                <w:rFonts w:hint="eastAsia" w:ascii="宋体" w:hAnsi="宋体" w:eastAsia="宋体" w:cs="宋体"/>
                <w:b w:val="0"/>
                <w:bCs w:val="0"/>
                <w:color w:val="auto"/>
                <w:spacing w:val="6"/>
                <w:sz w:val="24"/>
                <w:highlight w:val="none"/>
                <w:lang w:eastAsia="zh-CN"/>
              </w:rPr>
              <w:t>（</w:t>
            </w:r>
            <w:r>
              <w:rPr>
                <w:rFonts w:hint="eastAsia" w:ascii="宋体" w:hAnsi="宋体" w:eastAsia="宋体" w:cs="宋体"/>
                <w:b w:val="0"/>
                <w:bCs w:val="0"/>
                <w:color w:val="auto"/>
                <w:spacing w:val="6"/>
                <w:sz w:val="24"/>
                <w:highlight w:val="none"/>
                <w:lang w:val="en-US" w:eastAsia="zh-CN"/>
              </w:rPr>
              <w:t>声明函格式自拟</w:t>
            </w:r>
            <w:r>
              <w:rPr>
                <w:rFonts w:hint="eastAsia" w:ascii="宋体" w:hAnsi="宋体" w:eastAsia="宋体" w:cs="宋体"/>
                <w:b w:val="0"/>
                <w:bCs w:val="0"/>
                <w:color w:val="auto"/>
                <w:spacing w:val="6"/>
                <w:sz w:val="24"/>
                <w:highlight w:val="none"/>
                <w:lang w:eastAsia="zh-CN"/>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color w:val="auto"/>
                <w:spacing w:val="6"/>
                <w:sz w:val="24"/>
                <w:highlight w:val="none"/>
              </w:rPr>
            </w:pPr>
            <w:r>
              <w:rPr>
                <w:rFonts w:hint="eastAsia" w:ascii="宋体" w:hAnsi="宋体" w:eastAsia="宋体" w:cs="宋体"/>
                <w:b w:val="0"/>
                <w:bCs w:val="0"/>
                <w:color w:val="auto"/>
                <w:spacing w:val="6"/>
                <w:sz w:val="24"/>
                <w:highlight w:val="none"/>
              </w:rPr>
              <w:t>6）法律、行政法规规定的其他条件。</w:t>
            </w:r>
          </w:p>
          <w:p>
            <w:pPr>
              <w:spacing w:line="360" w:lineRule="exact"/>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2落实政府采购政策需满足的资格要求：</w:t>
            </w:r>
            <w:r>
              <w:rPr>
                <w:rFonts w:hint="eastAsia" w:ascii="宋体" w:hAnsi="宋体" w:eastAsia="宋体" w:cs="宋体"/>
                <w:b/>
                <w:bCs/>
                <w:color w:val="auto"/>
                <w:spacing w:val="6"/>
                <w:sz w:val="24"/>
                <w:highlight w:val="none"/>
                <w:lang w:eastAsia="zh-CN"/>
              </w:rPr>
              <w:t>本项目第5、6、15、17、20标段专门面向中小企业采购；第9、13、14、16、18、19、25、26、27、37、38、40、42标段专门面向小微企业采购；其余标段非专门面向中小企业采购；</w:t>
            </w:r>
          </w:p>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Cs/>
                <w:color w:val="auto"/>
                <w:sz w:val="24"/>
                <w:highlight w:val="none"/>
                <w:lang w:eastAsia="zh-CN"/>
              </w:rPr>
              <w:t>3.</w:t>
            </w:r>
            <w:r>
              <w:rPr>
                <w:rFonts w:hint="eastAsia" w:ascii="宋体" w:hAnsi="宋体" w:eastAsia="宋体" w:cs="宋体"/>
                <w:b w:val="0"/>
                <w:bCs w:val="0"/>
                <w:color w:val="auto"/>
                <w:spacing w:val="6"/>
                <w:sz w:val="24"/>
                <w:highlight w:val="none"/>
              </w:rPr>
              <w:t>本项目的特定资格要求：</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val="en-US" w:eastAsia="zh-CN"/>
              </w:rPr>
              <w:t>1）</w:t>
            </w:r>
            <w:r>
              <w:rPr>
                <w:rFonts w:hint="eastAsia" w:ascii="宋体" w:hAnsi="宋体" w:eastAsia="宋体" w:cs="宋体"/>
                <w:bCs/>
                <w:color w:val="auto"/>
                <w:sz w:val="24"/>
                <w:highlight w:val="none"/>
              </w:rPr>
              <w:t>投标人应当通过“信用中国”网站（www.creditchina.gov.cn）、中国政府采购网（www.ccgp.gov.cn）等渠道查询相关主体信用记录</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未被</w:t>
            </w:r>
            <w:r>
              <w:rPr>
                <w:rFonts w:hint="eastAsia" w:ascii="宋体" w:hAnsi="宋体" w:eastAsia="宋体" w:cs="宋体"/>
                <w:bCs/>
                <w:color w:val="auto"/>
                <w:sz w:val="24"/>
                <w:highlight w:val="none"/>
                <w:lang w:eastAsia="zh-CN"/>
              </w:rPr>
              <w:t>列入失信被执行人、重大税收违法失信主体、政府采购严重违法失信行为记录名单</w:t>
            </w:r>
            <w:r>
              <w:rPr>
                <w:rFonts w:hint="eastAsia" w:ascii="宋体" w:hAnsi="宋体" w:eastAsia="宋体" w:cs="宋体"/>
                <w:b w:val="0"/>
                <w:bCs w:val="0"/>
                <w:color w:val="auto"/>
                <w:spacing w:val="6"/>
                <w:sz w:val="24"/>
                <w:highlight w:val="none"/>
                <w:lang w:eastAsia="zh-CN"/>
              </w:rPr>
              <w:t>。</w:t>
            </w:r>
          </w:p>
          <w:p>
            <w:pPr>
              <w:spacing w:line="360" w:lineRule="exact"/>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b w:val="0"/>
                <w:bCs w:val="0"/>
                <w:color w:val="auto"/>
                <w:spacing w:val="6"/>
                <w:sz w:val="24"/>
                <w:highlight w:val="none"/>
              </w:rPr>
              <w:t>2</w:t>
            </w:r>
            <w:r>
              <w:rPr>
                <w:rFonts w:hint="eastAsia" w:ascii="宋体" w:hAnsi="宋体" w:eastAsia="宋体" w:cs="宋体"/>
                <w:b w:val="0"/>
                <w:bCs w:val="0"/>
                <w:color w:val="auto"/>
                <w:spacing w:val="6"/>
                <w:sz w:val="24"/>
                <w:highlight w:val="none"/>
                <w:lang w:eastAsia="zh-CN"/>
              </w:rPr>
              <w:t>）</w:t>
            </w:r>
            <w:r>
              <w:rPr>
                <w:rFonts w:hint="eastAsia" w:ascii="宋体" w:hAnsi="宋体" w:cs="宋体"/>
                <w:b w:val="0"/>
                <w:bCs w:val="0"/>
                <w:color w:val="auto"/>
                <w:spacing w:val="6"/>
                <w:sz w:val="24"/>
                <w:highlight w:val="none"/>
                <w:lang w:eastAsia="zh-CN"/>
              </w:rPr>
              <w:t>单位负责人为同一人或存在直接控股、管理关系的不同供应商</w:t>
            </w:r>
            <w:r>
              <w:rPr>
                <w:rFonts w:hint="eastAsia" w:ascii="宋体" w:hAnsi="宋体" w:eastAsia="宋体" w:cs="宋体"/>
                <w:b w:val="0"/>
                <w:bCs w:val="0"/>
                <w:color w:val="auto"/>
                <w:spacing w:val="6"/>
                <w:sz w:val="24"/>
                <w:highlight w:val="none"/>
              </w:rPr>
              <w:t>，不得参加同一合同项下的政府采购活动。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招标文件的</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获取</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pacing w:val="6"/>
                <w:sz w:val="24"/>
                <w:highlight w:val="none"/>
                <w:lang w:val="en-US" w:eastAsia="zh-CN"/>
              </w:rPr>
            </w:pPr>
            <w:r>
              <w:rPr>
                <w:rFonts w:hint="eastAsia" w:ascii="宋体" w:hAnsi="宋体" w:eastAsia="宋体" w:cs="宋体"/>
                <w:b w:val="0"/>
                <w:bCs w:val="0"/>
                <w:color w:val="auto"/>
                <w:spacing w:val="6"/>
                <w:sz w:val="24"/>
                <w:highlight w:val="none"/>
                <w:lang w:val="en-US" w:eastAsia="zh-CN"/>
              </w:rPr>
              <w:t>详见公告正文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招标范围</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rPr>
              <w:t>详见招标公告1.</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采购需求</w:t>
            </w:r>
            <w:r>
              <w:rPr>
                <w:rFonts w:hint="eastAsia" w:ascii="宋体" w:hAnsi="宋体" w:eastAsia="宋体" w:cs="宋体"/>
                <w:b/>
                <w:bCs/>
                <w:color w:val="auto"/>
                <w:sz w:val="24"/>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6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*构成投标文件的其他材料</w:t>
            </w:r>
          </w:p>
        </w:tc>
        <w:tc>
          <w:tcPr>
            <w:tcW w:w="8169" w:type="dxa"/>
            <w:tcBorders>
              <w:left w:val="single" w:color="auto" w:sz="4" w:space="0"/>
            </w:tcBorders>
            <w:vAlign w:val="top"/>
          </w:tcPr>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投标人应符合</w:t>
            </w:r>
            <w:r>
              <w:rPr>
                <w:rFonts w:hint="eastAsia" w:ascii="宋体" w:hAnsi="宋体" w:eastAsia="宋体" w:cs="宋体"/>
                <w:b w:val="0"/>
                <w:bCs w:val="0"/>
                <w:color w:val="auto"/>
                <w:sz w:val="24"/>
                <w:highlight w:val="none"/>
                <w:lang w:eastAsia="zh-CN"/>
              </w:rPr>
              <w:t>招标公告</w:t>
            </w:r>
            <w:r>
              <w:rPr>
                <w:rFonts w:hint="eastAsia" w:ascii="宋体" w:hAnsi="宋体" w:eastAsia="宋体" w:cs="宋体"/>
                <w:b w:val="0"/>
                <w:bCs w:val="0"/>
                <w:color w:val="auto"/>
                <w:sz w:val="24"/>
                <w:highlight w:val="none"/>
              </w:rPr>
              <w:t>中投标人资格要求，</w:t>
            </w:r>
            <w:r>
              <w:rPr>
                <w:rFonts w:hint="eastAsia" w:ascii="宋体" w:hAnsi="宋体" w:eastAsia="宋体" w:cs="宋体"/>
                <w:b w:val="0"/>
                <w:bCs w:val="0"/>
                <w:color w:val="auto"/>
                <w:sz w:val="24"/>
                <w:highlight w:val="none"/>
                <w:lang w:val="en-US" w:eastAsia="zh-CN"/>
              </w:rPr>
              <w:t>并</w:t>
            </w:r>
            <w:r>
              <w:rPr>
                <w:rFonts w:hint="eastAsia" w:ascii="宋体" w:hAnsi="宋体" w:eastAsia="宋体" w:cs="宋体"/>
                <w:b w:val="0"/>
                <w:bCs w:val="0"/>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b w:val="0"/>
                <w:bCs w:val="0"/>
                <w:color w:val="auto"/>
                <w:sz w:val="24"/>
                <w:highlight w:val="none"/>
              </w:rPr>
              <w:t>复印件装订到投标文件中：</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1）营业执照副本；</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2）《法人身份证明书》（附法定代表人身份证）或法人授权委托书（附法定代表人和授权代表身份证）；</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3）具有履行合同所必需的设备和专业技术能力的证明材料（可以提供类似业绩合同或者可以提供</w:t>
            </w:r>
            <w:r>
              <w:rPr>
                <w:rFonts w:hint="eastAsia" w:ascii="宋体" w:hAnsi="宋体" w:eastAsia="宋体" w:cs="宋体"/>
                <w:b w:val="0"/>
                <w:bCs w:val="0"/>
                <w:color w:val="auto"/>
                <w:sz w:val="24"/>
                <w:highlight w:val="none"/>
                <w:lang w:val="en-US" w:eastAsia="zh-CN"/>
              </w:rPr>
              <w:t>声明函&lt;</w:t>
            </w:r>
            <w:r>
              <w:rPr>
                <w:rFonts w:hint="eastAsia" w:ascii="宋体" w:hAnsi="宋体" w:eastAsia="宋体" w:cs="宋体"/>
                <w:b w:val="0"/>
                <w:bCs w:val="0"/>
                <w:color w:val="auto"/>
                <w:sz w:val="24"/>
                <w:highlight w:val="none"/>
              </w:rPr>
              <w:t>格式自拟</w:t>
            </w:r>
            <w:r>
              <w:rPr>
                <w:rFonts w:hint="eastAsia" w:ascii="宋体" w:hAnsi="宋体" w:eastAsia="宋体" w:cs="宋体"/>
                <w:b w:val="0"/>
                <w:bCs w:val="0"/>
                <w:color w:val="auto"/>
                <w:sz w:val="24"/>
                <w:highlight w:val="none"/>
                <w:lang w:val="en-US" w:eastAsia="zh-CN"/>
              </w:rPr>
              <w:t>&gt;</w:t>
            </w:r>
            <w:r>
              <w:rPr>
                <w:rFonts w:hint="eastAsia" w:ascii="宋体" w:hAnsi="宋体" w:eastAsia="宋体" w:cs="宋体"/>
                <w:b w:val="0"/>
                <w:bCs w:val="0"/>
                <w:color w:val="auto"/>
                <w:sz w:val="24"/>
                <w:highlight w:val="none"/>
              </w:rPr>
              <w:t>）；</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4）参加政府采购活动前三年内在经营活动中没有重大违法记录的书面声明；</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声明函格式自拟</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rPr>
              <w:t>；</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5）</w:t>
            </w:r>
            <w:r>
              <w:rPr>
                <w:rFonts w:hint="eastAsia" w:ascii="宋体" w:hAnsi="宋体" w:eastAsia="宋体" w:cs="宋体"/>
                <w:b w:val="0"/>
                <w:bCs w:val="0"/>
                <w:color w:val="auto"/>
                <w:sz w:val="24"/>
                <w:highlight w:val="none"/>
                <w:lang w:eastAsia="zh-CN"/>
              </w:rPr>
              <w:t>投标人提供近三年（2020年-2022年）经会计师事务所出具的财务审计报告。（若投标人为2020年以后注册成立的公司，即需提供从成立日期起的财务审计报告；若投标人为2023年以后注册成立的公司，即需提供一份银行资信证明）</w:t>
            </w:r>
            <w:r>
              <w:rPr>
                <w:rFonts w:hint="eastAsia" w:ascii="宋体" w:hAnsi="宋体" w:eastAsia="宋体" w:cs="宋体"/>
                <w:b w:val="0"/>
                <w:bCs w:val="0"/>
                <w:color w:val="auto"/>
                <w:sz w:val="24"/>
                <w:highlight w:val="none"/>
              </w:rPr>
              <w:t>、</w:t>
            </w:r>
            <w:r>
              <w:rPr>
                <w:rFonts w:hint="eastAsia" w:ascii="宋体" w:hAnsi="宋体" w:eastAsia="宋体" w:cs="宋体"/>
                <w:b w:val="0"/>
                <w:bCs w:val="0"/>
                <w:color w:val="auto"/>
                <w:sz w:val="24"/>
                <w:highlight w:val="none"/>
                <w:lang w:eastAsia="zh-CN"/>
              </w:rPr>
              <w:t>提供近一年（2023年02月以后）任意两个月的依法缴纳税收和社会保障资金的相关材料</w:t>
            </w:r>
            <w:r>
              <w:rPr>
                <w:rFonts w:hint="eastAsia" w:ascii="宋体" w:hAnsi="宋体" w:eastAsia="宋体" w:cs="宋体"/>
                <w:b w:val="0"/>
                <w:bCs w:val="0"/>
                <w:color w:val="auto"/>
                <w:sz w:val="24"/>
                <w:highlight w:val="none"/>
              </w:rPr>
              <w:t>(依法免税的</w:t>
            </w:r>
            <w:r>
              <w:rPr>
                <w:rFonts w:hint="eastAsia" w:ascii="宋体" w:hAnsi="宋体" w:eastAsia="宋体" w:cs="宋体"/>
                <w:b w:val="0"/>
                <w:bCs w:val="0"/>
                <w:color w:val="auto"/>
                <w:sz w:val="24"/>
                <w:highlight w:val="none"/>
                <w:lang w:eastAsia="zh-CN"/>
              </w:rPr>
              <w:t>投标人</w:t>
            </w:r>
            <w:r>
              <w:rPr>
                <w:rFonts w:hint="eastAsia" w:ascii="宋体" w:hAnsi="宋体" w:eastAsia="宋体" w:cs="宋体"/>
                <w:b w:val="0"/>
                <w:bCs w:val="0"/>
                <w:color w:val="auto"/>
                <w:sz w:val="24"/>
                <w:highlight w:val="none"/>
              </w:rPr>
              <w:t>，应提供相应文件证明其依法免税）；</w:t>
            </w:r>
          </w:p>
          <w:p>
            <w:pPr>
              <w:adjustRightInd w:val="0"/>
              <w:spacing w:line="360" w:lineRule="exac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val="0"/>
                <w:bCs w:val="0"/>
                <w:color w:val="auto"/>
                <w:sz w:val="24"/>
                <w:highlight w:val="none"/>
              </w:rPr>
              <w:t>6）</w:t>
            </w:r>
            <w:r>
              <w:rPr>
                <w:rFonts w:hint="eastAsia" w:ascii="宋体" w:hAnsi="宋体" w:eastAsia="宋体" w:cs="宋体"/>
                <w:bCs/>
                <w:color w:val="auto"/>
                <w:sz w:val="24"/>
                <w:highlight w:val="none"/>
              </w:rPr>
              <w:t>投标人应当通过“信用中国”网站（www.creditchina.gov.cn）、中国政府采购网（www.ccgp.gov.cn）等渠道查询相关主体信用记录</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未被</w:t>
            </w:r>
            <w:r>
              <w:rPr>
                <w:rFonts w:hint="eastAsia" w:ascii="宋体" w:hAnsi="宋体" w:eastAsia="宋体" w:cs="宋体"/>
                <w:bCs/>
                <w:color w:val="auto"/>
                <w:sz w:val="24"/>
                <w:highlight w:val="none"/>
                <w:lang w:eastAsia="zh-CN"/>
              </w:rPr>
              <w:t>列入失信被执行人、重大税收违法失信主体、政府采购严重违法失信行为记录名单</w:t>
            </w:r>
            <w:r>
              <w:rPr>
                <w:rFonts w:hint="eastAsia" w:ascii="宋体" w:hAnsi="宋体" w:eastAsia="宋体" w:cs="宋体"/>
                <w:b w:val="0"/>
                <w:bCs w:val="0"/>
                <w:color w:val="auto"/>
                <w:sz w:val="24"/>
                <w:highlight w:val="none"/>
                <w:lang w:val="en-US" w:eastAsia="zh-CN"/>
              </w:rPr>
              <w:t>。</w:t>
            </w:r>
          </w:p>
          <w:p>
            <w:pPr>
              <w:adjustRightInd w:val="0"/>
              <w:spacing w:line="360" w:lineRule="exac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7）投标人认为对本项目有利的其他证明文件。</w:t>
            </w:r>
          </w:p>
          <w:p>
            <w:pPr>
              <w:pStyle w:val="3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8）技术参数中对国家强制性要求必须提供的资料、证照等应在投标时制作在投标文件中。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kern w:val="2"/>
                <w:sz w:val="24"/>
                <w:szCs w:val="24"/>
                <w:highlight w:val="none"/>
                <w:lang w:val="en-US" w:eastAsia="zh-CN" w:bidi="ar-SA"/>
              </w:rPr>
              <w:t>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*交货地点</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吉林省消防救援总队指定地点，中标人负责将货物安全完好运抵交货地点（货物在途</w:t>
            </w:r>
            <w:r>
              <w:rPr>
                <w:rFonts w:hint="eastAsia" w:ascii="宋体" w:hAnsi="宋体" w:eastAsia="宋体" w:cs="宋体"/>
                <w:b w:val="0"/>
                <w:bCs w:val="0"/>
                <w:color w:val="auto"/>
                <w:sz w:val="24"/>
                <w:highlight w:val="none"/>
                <w:lang w:val="en-US" w:eastAsia="zh-CN"/>
              </w:rPr>
              <w:t>中</w:t>
            </w:r>
            <w:r>
              <w:rPr>
                <w:rFonts w:hint="eastAsia" w:ascii="宋体" w:hAnsi="宋体" w:eastAsia="宋体" w:cs="宋体"/>
                <w:b w:val="0"/>
                <w:bCs w:val="0"/>
                <w:color w:val="auto"/>
                <w:sz w:val="24"/>
                <w:highlight w:val="none"/>
              </w:rPr>
              <w:t>的一切风险及运输、卸货等费用由中标人承担）并保证验收合格。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*交货期限</w:t>
            </w:r>
          </w:p>
        </w:tc>
        <w:tc>
          <w:tcPr>
            <w:tcW w:w="8169" w:type="dxa"/>
            <w:tcBorders>
              <w:left w:val="single" w:color="auto" w:sz="4" w:space="0"/>
            </w:tcBorders>
            <w:vAlign w:val="top"/>
          </w:tcPr>
          <w:p>
            <w:pPr>
              <w:spacing w:line="360" w:lineRule="exact"/>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合同</w:t>
            </w:r>
            <w:r>
              <w:rPr>
                <w:rFonts w:hint="eastAsia" w:ascii="宋体" w:hAnsi="宋体" w:eastAsia="宋体" w:cs="宋体"/>
                <w:b/>
                <w:bCs/>
                <w:color w:val="auto"/>
                <w:sz w:val="24"/>
                <w:highlight w:val="none"/>
                <w:lang w:val="en-US" w:eastAsia="zh-CN"/>
              </w:rPr>
              <w:t>生效</w:t>
            </w:r>
            <w:r>
              <w:rPr>
                <w:rFonts w:hint="eastAsia" w:ascii="宋体" w:hAnsi="宋体" w:eastAsia="宋体" w:cs="宋体"/>
                <w:b/>
                <w:bCs/>
                <w:color w:val="auto"/>
                <w:sz w:val="24"/>
                <w:highlight w:val="none"/>
                <w:lang w:eastAsia="zh-CN"/>
              </w:rPr>
              <w:t>后</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lang w:eastAsia="zh-CN"/>
              </w:rPr>
              <w:t>个月内履行完毕。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*验收方式</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中标人提交的货物到货后30个工作日内采购人负责检验验收或由采购人聘请当地质检（商检）部门或国家有关部门对货物的品种、规格、性能、质量、数量、外观以及配件等进行检验，并出具检验证书，检验费用由中标人承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2）验收过程中，如果采购人、中标人双方对合同标的质量发生争议，应当聘请国家消防装备质量监督检验中心或国家有关部门对有争议的货物质量进行鉴定，</w:t>
            </w:r>
            <w:r>
              <w:rPr>
                <w:rFonts w:hint="eastAsia" w:ascii="宋体" w:hAnsi="宋体" w:cs="宋体"/>
                <w:sz w:val="24"/>
                <w:highlight w:val="none"/>
              </w:rPr>
              <w:t>鉴定费用由中标人先行支付，最终由责任方承担。</w:t>
            </w:r>
            <w:r>
              <w:rPr>
                <w:rFonts w:hint="eastAsia" w:ascii="宋体" w:hAnsi="宋体" w:eastAsia="宋体" w:cs="宋体"/>
                <w:b w:val="0"/>
                <w:bCs w:val="0"/>
                <w:color w:val="auto"/>
                <w:sz w:val="24"/>
                <w:highlight w:val="none"/>
              </w:rPr>
              <w:t>按照规定必须由国家有关部门或者机构检验合格才允许使用的货物，由中标人负责（采购人配合）向有关部门或者机构申请检验并取得检验合格的报告（证书）或者使用许可证，费用包含在中标人的合同总价中。</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验收前，中标人向采购人提供本合同所列明货物金额的发票等文件，验收合格的，中标人与采购人共同在验收单上签字，作为验收合格、同意付款的依据。验收不合格的，按照采购人下达的整改通知确定的时间内进行整改，整改后，仍未达到合同约定技术要求的，采购人有权单方解除本合同，所产生的费用由中标人承担，同时采购人有权扣留全部履约保证金，中标人还需额外支付合同总价款的5%作为违约金。乙方须退还甲方全部已付款，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采购人根据国家现行质量标准及行业标准规定接受货物，验收标准以中标人的投标文件技术参数资料为标准进行验收，同时中标人需提供有关质检机构出具的检验报告或证书、制造厂商出具的质量检验证书、产品合格证、消防产品认证证书等手续，否则，采购人有权不予验收。</w:t>
            </w:r>
          </w:p>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 xml:space="preserve">5）中标人在交付货物时，须附着由“消防装备物资信息采购系统”统一发行的装备物资二维码（或RFID），二维码要清晰整洁，固定牢固且具有永久性，扫描后显示信息要包括产品信息、图片、使用说明等详细信息。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*质量要求</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中标人应确保提供所供应的产品为全新的合格产品。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kern w:val="2"/>
                <w:sz w:val="24"/>
                <w:szCs w:val="24"/>
                <w:highlight w:val="none"/>
                <w:lang w:val="en-US" w:eastAsia="zh-CN" w:bidi="ar-SA"/>
              </w:rPr>
            </w:pPr>
            <w:r>
              <w:rPr>
                <w:rFonts w:hint="eastAsia" w:ascii="宋体" w:hAnsi="宋体" w:cs="宋体"/>
                <w:sz w:val="24"/>
                <w:highlight w:val="none"/>
              </w:rPr>
              <w:t>*付款条件</w:t>
            </w:r>
          </w:p>
        </w:tc>
        <w:tc>
          <w:tcPr>
            <w:tcW w:w="8169" w:type="dxa"/>
            <w:tcBorders>
              <w:left w:val="single" w:color="auto" w:sz="4" w:space="0"/>
            </w:tcBorders>
            <w:vAlign w:val="top"/>
          </w:tcPr>
          <w:p>
            <w:pPr>
              <w:spacing w:line="360" w:lineRule="exact"/>
              <w:rPr>
                <w:rFonts w:hint="eastAsia" w:ascii="宋体" w:hAnsi="宋体" w:cs="宋体"/>
                <w:color w:val="auto"/>
                <w:sz w:val="24"/>
                <w:highlight w:val="none"/>
              </w:rPr>
            </w:pPr>
            <w:r>
              <w:rPr>
                <w:rFonts w:hint="eastAsia" w:ascii="宋体" w:hAnsi="宋体" w:cs="宋体"/>
                <w:color w:val="auto"/>
                <w:sz w:val="24"/>
                <w:highlight w:val="none"/>
              </w:rPr>
              <w:t>合同签订前</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向</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支付合同总价款5％的履约保证金。</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收到履约保证金并签订合同后30个工作日内，向</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支付30%货款；到货并验收合格，且收到</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开具的合同等额的符合</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要求的税务发票后在30个工作日内，向</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支付70%货款；货物质保期满后，若无质量问题或质量问题已解决达到</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要求，向</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无息返还5％的履约保证金；若出现质量问题，</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应免费及时维修更换，如因</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原因导致</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利益受损，</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应承担损害赔偿责任，同时</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有权扣留5%的履约保证金作为违约金，违约金不足以弥补</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损失的，</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有权向</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追偿。</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付款前，</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应为</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开具符合</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要求的发票，否则</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有权拒绝付款且不视为违约。</w:t>
            </w:r>
          </w:p>
          <w:p>
            <w:pPr>
              <w:spacing w:line="360" w:lineRule="exact"/>
              <w:rPr>
                <w:rFonts w:hint="eastAsia" w:ascii="宋体" w:hAnsi="宋体" w:cs="宋体"/>
                <w:color w:val="auto"/>
                <w:sz w:val="24"/>
                <w:highlight w:val="none"/>
              </w:rPr>
            </w:pPr>
            <w:r>
              <w:rPr>
                <w:rFonts w:hint="eastAsia" w:ascii="宋体" w:hAnsi="宋体" w:cs="宋体"/>
                <w:color w:val="auto"/>
                <w:sz w:val="24"/>
                <w:highlight w:val="none"/>
              </w:rPr>
              <w:t xml:space="preserve">具体详细内容按合同约定执行。   </w:t>
            </w:r>
          </w:p>
          <w:p>
            <w:pPr>
              <w:pStyle w:val="8"/>
              <w:spacing w:line="360" w:lineRule="exact"/>
              <w:rPr>
                <w:rFonts w:hint="eastAsia" w:ascii="宋体" w:hAnsi="宋体" w:eastAsia="宋体" w:cs="宋体"/>
                <w:color w:val="0000FF"/>
                <w:kern w:val="2"/>
                <w:sz w:val="24"/>
                <w:szCs w:val="24"/>
                <w:highlight w:val="none"/>
                <w:lang w:val="en-US" w:eastAsia="zh-CN" w:bidi="ar-SA"/>
              </w:rPr>
            </w:pPr>
            <w:r>
              <w:rPr>
                <w:rFonts w:hint="eastAsia" w:ascii="宋体" w:hAnsi="宋体" w:eastAsia="宋体" w:cs="宋体"/>
                <w:color w:val="auto"/>
                <w:sz w:val="24"/>
                <w:highlight w:val="none"/>
                <w:lang w:val="zh-CN"/>
              </w:rPr>
              <w:t>若因</w:t>
            </w:r>
            <w:r>
              <w:rPr>
                <w:rFonts w:hint="eastAsia" w:ascii="宋体" w:hAnsi="宋体" w:cs="宋体"/>
                <w:color w:val="auto"/>
                <w:sz w:val="24"/>
                <w:highlight w:val="none"/>
                <w:lang w:val="en-US" w:eastAsia="zh-CN"/>
              </w:rPr>
              <w:t>中标人</w:t>
            </w:r>
            <w:r>
              <w:rPr>
                <w:rFonts w:hint="eastAsia" w:ascii="宋体" w:hAnsi="宋体" w:eastAsia="宋体" w:cs="宋体"/>
                <w:color w:val="auto"/>
                <w:sz w:val="24"/>
                <w:highlight w:val="none"/>
                <w:lang w:val="zh-CN"/>
              </w:rPr>
              <w:t>未及时在合同供货期限内供货或因验收不达标，导致项目资金被财政部门收回的，</w:t>
            </w:r>
            <w:r>
              <w:rPr>
                <w:rFonts w:hint="eastAsia" w:ascii="宋体" w:hAnsi="宋体" w:cs="宋体"/>
                <w:color w:val="auto"/>
                <w:sz w:val="24"/>
                <w:highlight w:val="none"/>
                <w:lang w:val="en-US" w:eastAsia="zh-CN"/>
              </w:rPr>
              <w:t>采购人</w:t>
            </w:r>
            <w:r>
              <w:rPr>
                <w:rFonts w:hint="eastAsia" w:ascii="宋体" w:hAnsi="宋体" w:eastAsia="宋体" w:cs="宋体"/>
                <w:color w:val="auto"/>
                <w:sz w:val="24"/>
                <w:highlight w:val="none"/>
                <w:lang w:val="zh-CN"/>
              </w:rPr>
              <w:t>有权解除合同，由</w:t>
            </w:r>
            <w:r>
              <w:rPr>
                <w:rFonts w:hint="eastAsia" w:ascii="宋体" w:hAnsi="宋体" w:cs="宋体"/>
                <w:color w:val="auto"/>
                <w:sz w:val="24"/>
                <w:highlight w:val="none"/>
                <w:lang w:val="en-US" w:eastAsia="zh-CN"/>
              </w:rPr>
              <w:t>中标人</w:t>
            </w:r>
            <w:r>
              <w:rPr>
                <w:rFonts w:hint="eastAsia" w:ascii="宋体" w:hAnsi="宋体" w:eastAsia="宋体" w:cs="宋体"/>
                <w:color w:val="auto"/>
                <w:sz w:val="24"/>
                <w:highlight w:val="none"/>
                <w:lang w:val="zh-CN"/>
              </w:rPr>
              <w:t>承担全部责任，</w:t>
            </w:r>
            <w:r>
              <w:rPr>
                <w:rFonts w:hint="eastAsia" w:ascii="宋体" w:hAnsi="宋体" w:cs="宋体"/>
                <w:color w:val="auto"/>
                <w:sz w:val="24"/>
                <w:highlight w:val="none"/>
                <w:lang w:val="en-US" w:eastAsia="zh-CN"/>
              </w:rPr>
              <w:t>中标人</w:t>
            </w:r>
            <w:r>
              <w:rPr>
                <w:rFonts w:hint="eastAsia" w:ascii="宋体" w:hAnsi="宋体" w:eastAsia="宋体" w:cs="宋体"/>
                <w:color w:val="auto"/>
                <w:sz w:val="24"/>
                <w:highlight w:val="none"/>
                <w:lang w:val="zh-CN"/>
              </w:rPr>
              <w:t>退还</w:t>
            </w:r>
            <w:r>
              <w:rPr>
                <w:rFonts w:hint="eastAsia" w:ascii="宋体" w:hAnsi="宋体" w:cs="宋体"/>
                <w:color w:val="auto"/>
                <w:sz w:val="24"/>
                <w:highlight w:val="none"/>
                <w:lang w:val="en-US" w:eastAsia="zh-CN"/>
              </w:rPr>
              <w:t>采购人</w:t>
            </w:r>
            <w:r>
              <w:rPr>
                <w:rFonts w:hint="eastAsia" w:ascii="宋体" w:hAnsi="宋体" w:eastAsia="宋体" w:cs="宋体"/>
                <w:color w:val="auto"/>
                <w:sz w:val="24"/>
                <w:highlight w:val="none"/>
                <w:lang w:val="zh-CN"/>
              </w:rPr>
              <w:t>全部已支付货款，同时</w:t>
            </w:r>
            <w:r>
              <w:rPr>
                <w:rFonts w:hint="eastAsia" w:ascii="宋体" w:hAnsi="宋体" w:cs="宋体"/>
                <w:color w:val="auto"/>
                <w:sz w:val="24"/>
                <w:highlight w:val="none"/>
                <w:lang w:val="en-US" w:eastAsia="zh-CN"/>
              </w:rPr>
              <w:t>采购人</w:t>
            </w:r>
            <w:r>
              <w:rPr>
                <w:rFonts w:hint="eastAsia" w:ascii="宋体" w:hAnsi="宋体" w:eastAsia="宋体" w:cs="宋体"/>
                <w:color w:val="auto"/>
                <w:sz w:val="24"/>
                <w:highlight w:val="none"/>
                <w:lang w:val="zh-CN"/>
              </w:rPr>
              <w:t>扣留全部履约保证金作为违约金。另外乙方还需赔偿甲方维权产生的全部费用，包括但不限于鉴定费、律师费、保全担保费、公证费、诉讼费、标的物涨价产生的差额</w:t>
            </w:r>
            <w:r>
              <w:rPr>
                <w:rFonts w:hint="eastAsia" w:ascii="宋体" w:hAnsi="宋体" w:eastAsia="宋体" w:cs="宋体"/>
                <w:color w:val="auto"/>
                <w:sz w:val="24"/>
                <w:highlight w:val="none"/>
                <w:lang w:val="zh-CN" w:eastAsia="zh-CN"/>
              </w:rPr>
              <w:t>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*投标文件的格式</w:t>
            </w:r>
            <w:r>
              <w:rPr>
                <w:rFonts w:hint="eastAsia" w:ascii="宋体" w:hAnsi="宋体" w:eastAsia="宋体" w:cs="宋体"/>
                <w:color w:val="auto"/>
                <w:sz w:val="24"/>
                <w:highlight w:val="none"/>
                <w:lang w:eastAsia="zh-CN"/>
              </w:rPr>
              <w:t>及</w:t>
            </w:r>
            <w:r>
              <w:rPr>
                <w:rFonts w:hint="eastAsia" w:ascii="宋体" w:hAnsi="宋体" w:eastAsia="宋体" w:cs="宋体"/>
                <w:color w:val="auto"/>
                <w:sz w:val="24"/>
                <w:highlight w:val="none"/>
              </w:rPr>
              <w:t>签署</w:t>
            </w:r>
          </w:p>
        </w:tc>
        <w:tc>
          <w:tcPr>
            <w:tcW w:w="8169" w:type="dxa"/>
            <w:tcBorders>
              <w:left w:val="single" w:color="auto" w:sz="4" w:space="0"/>
            </w:tcBorders>
            <w:vAlign w:val="center"/>
          </w:tcPr>
          <w:p>
            <w:pPr>
              <w:spacing w:line="360" w:lineRule="exact"/>
              <w:rPr>
                <w:rFonts w:hint="eastAsia" w:ascii="宋体" w:hAnsi="宋体" w:eastAsia="宋体" w:cs="宋体"/>
                <w:b/>
                <w:bCs/>
                <w:color w:val="auto"/>
                <w:sz w:val="24"/>
                <w:highlight w:val="none"/>
              </w:rPr>
            </w:pPr>
            <w:r>
              <w:rPr>
                <w:rFonts w:hint="eastAsia" w:ascii="宋体" w:hAnsi="宋体" w:eastAsia="宋体" w:cs="宋体"/>
                <w:b w:val="0"/>
                <w:bCs w:val="0"/>
                <w:color w:val="auto"/>
                <w:sz w:val="24"/>
                <w:highlight w:val="none"/>
              </w:rPr>
              <w:t>投标文件的装订</w:t>
            </w:r>
            <w:r>
              <w:rPr>
                <w:rFonts w:hint="eastAsia" w:ascii="宋体" w:hAnsi="宋体" w:eastAsia="宋体" w:cs="宋体"/>
                <w:b w:val="0"/>
                <w:bCs w:val="0"/>
                <w:color w:val="auto"/>
                <w:sz w:val="24"/>
                <w:highlight w:val="none"/>
                <w:lang w:eastAsia="zh-CN"/>
              </w:rPr>
              <w:t>应胶装，且</w:t>
            </w:r>
            <w:r>
              <w:rPr>
                <w:rFonts w:hint="eastAsia" w:ascii="宋体" w:hAnsi="宋体" w:eastAsia="宋体" w:cs="宋体"/>
                <w:b w:val="0"/>
                <w:bCs w:val="0"/>
                <w:color w:val="auto"/>
                <w:sz w:val="24"/>
                <w:highlight w:val="none"/>
              </w:rPr>
              <w:t>整齐、牢固，便于保管和利用。</w:t>
            </w:r>
            <w:r>
              <w:rPr>
                <w:rFonts w:hint="eastAsia" w:ascii="宋体" w:hAnsi="宋体" w:eastAsia="宋体" w:cs="宋体"/>
                <w:b/>
                <w:bCs/>
                <w:color w:val="auto"/>
                <w:sz w:val="24"/>
                <w:highlight w:val="none"/>
              </w:rPr>
              <w:t>正本要求彩色打印，副本可以是正本的复印件。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投标文件应包含目录及页码。</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投标文件须打印或用不褪色墨水书写，由投标人的单位加盖公章。投标文件由</w:t>
            </w:r>
            <w:r>
              <w:rPr>
                <w:rFonts w:hint="eastAsia" w:ascii="宋体" w:hAnsi="宋体" w:eastAsia="宋体" w:cs="宋体"/>
                <w:b w:val="0"/>
                <w:bCs w:val="0"/>
                <w:color w:val="auto"/>
                <w:sz w:val="24"/>
                <w:highlight w:val="none"/>
                <w:lang w:eastAsia="zh-CN"/>
              </w:rPr>
              <w:t>法定代表人</w:t>
            </w:r>
            <w:r>
              <w:rPr>
                <w:rFonts w:hint="eastAsia" w:ascii="宋体" w:hAnsi="宋体" w:eastAsia="宋体" w:cs="宋体"/>
                <w:b w:val="0"/>
                <w:bCs w:val="0"/>
                <w:color w:val="auto"/>
                <w:sz w:val="24"/>
                <w:highlight w:val="none"/>
              </w:rPr>
              <w:t>签署的，须提交以书面形式出具的“</w:t>
            </w:r>
            <w:r>
              <w:rPr>
                <w:rFonts w:hint="eastAsia" w:ascii="宋体" w:hAnsi="宋体" w:eastAsia="宋体" w:cs="宋体"/>
                <w:b w:val="0"/>
                <w:bCs w:val="0"/>
                <w:color w:val="auto"/>
                <w:sz w:val="24"/>
                <w:highlight w:val="none"/>
                <w:lang w:eastAsia="zh-CN"/>
              </w:rPr>
              <w:t>法定代表人</w:t>
            </w:r>
            <w:r>
              <w:rPr>
                <w:rFonts w:hint="eastAsia" w:ascii="宋体" w:hAnsi="宋体" w:eastAsia="宋体" w:cs="宋体"/>
                <w:b w:val="0"/>
                <w:bCs w:val="0"/>
                <w:color w:val="auto"/>
                <w:sz w:val="24"/>
                <w:highlight w:val="none"/>
              </w:rPr>
              <w:t>资格证明”；由被授权人签署的，须提交以书面形式出具的“</w:t>
            </w:r>
            <w:r>
              <w:rPr>
                <w:rFonts w:hint="eastAsia" w:ascii="宋体" w:hAnsi="宋体" w:eastAsia="宋体" w:cs="宋体"/>
                <w:b w:val="0"/>
                <w:bCs w:val="0"/>
                <w:color w:val="auto"/>
                <w:sz w:val="24"/>
                <w:highlight w:val="none"/>
                <w:lang w:eastAsia="zh-CN"/>
              </w:rPr>
              <w:t>法定代表人</w:t>
            </w:r>
            <w:r>
              <w:rPr>
                <w:rFonts w:hint="eastAsia" w:ascii="宋体" w:hAnsi="宋体" w:eastAsia="宋体" w:cs="宋体"/>
                <w:b w:val="0"/>
                <w:bCs w:val="0"/>
                <w:color w:val="auto"/>
                <w:sz w:val="24"/>
                <w:highlight w:val="none"/>
              </w:rPr>
              <w:t>资格证明”和“</w:t>
            </w:r>
            <w:r>
              <w:rPr>
                <w:rFonts w:hint="eastAsia" w:ascii="宋体" w:hAnsi="宋体" w:eastAsia="宋体" w:cs="宋体"/>
                <w:b w:val="0"/>
                <w:bCs w:val="0"/>
                <w:color w:val="auto"/>
                <w:sz w:val="24"/>
                <w:highlight w:val="none"/>
                <w:lang w:eastAsia="zh-CN"/>
              </w:rPr>
              <w:t>法定代表人</w:t>
            </w:r>
            <w:r>
              <w:rPr>
                <w:rFonts w:hint="eastAsia" w:ascii="宋体" w:hAnsi="宋体" w:eastAsia="宋体" w:cs="宋体"/>
                <w:b w:val="0"/>
                <w:bCs w:val="0"/>
                <w:color w:val="auto"/>
                <w:sz w:val="24"/>
                <w:highlight w:val="none"/>
              </w:rPr>
              <w:t>授权书”。投标文件应加盖骑缝章。未经有效签署的投标文件将被作为非响应性投标而被拒绝。</w:t>
            </w:r>
          </w:p>
          <w:p>
            <w:pPr>
              <w:spacing w:line="36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val="0"/>
                <w:bCs w:val="0"/>
                <w:color w:val="auto"/>
                <w:sz w:val="24"/>
                <w:highlight w:val="none"/>
              </w:rPr>
              <w:t>投标文件中如有修改错漏处，应在修改处加盖投标人公章。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*投标文件的密封和标记</w:t>
            </w:r>
          </w:p>
        </w:tc>
        <w:tc>
          <w:tcPr>
            <w:tcW w:w="8169" w:type="dxa"/>
            <w:tcBorders>
              <w:left w:val="single" w:color="auto" w:sz="4" w:space="0"/>
            </w:tcBorders>
            <w:vAlign w:val="center"/>
          </w:tcPr>
          <w:p>
            <w:pPr>
              <w:spacing w:line="36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投标文件应包括开标一览表。为方便开标时唱标，投标人还应将开标一览表和投标保证金单独密封提交，并在信封上标明“开标一览表”或“投标保证金”字样。投标人应将投标文件正本和所有的副本分开密封装在单独的信封中，且在信封上标明“正本”“副本”字样。采购人将拒收不按招标文件要求密封的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58"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b w:val="0"/>
                <w:bCs w:val="0"/>
                <w:color w:val="auto"/>
                <w:sz w:val="24"/>
                <w:highlight w:val="none"/>
              </w:rPr>
              <w:t>违法行为</w:t>
            </w:r>
          </w:p>
        </w:tc>
        <w:tc>
          <w:tcPr>
            <w:tcW w:w="8169" w:type="dxa"/>
            <w:tcBorders>
              <w:left w:val="single" w:color="auto" w:sz="4" w:space="0"/>
            </w:tcBorders>
            <w:vAlign w:val="center"/>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（一）不同投标人的投标文件由同一单位或者个人编制；</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（二）不同投标人委托同一单位或者个人办理投标事宜；</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（五）不同投标人的投标文件相互混装；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shd w:val="clear"/>
              </w:rPr>
              <w:t>（六）不同投标人的投标保证金从同一单位或者个人的账户转出。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投标报价和货币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16</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b w:val="0"/>
                <w:bCs w:val="0"/>
                <w:color w:val="auto"/>
                <w:sz w:val="24"/>
                <w:highlight w:val="none"/>
              </w:rPr>
              <w:t>采购预算</w:t>
            </w:r>
          </w:p>
        </w:tc>
        <w:tc>
          <w:tcPr>
            <w:tcW w:w="8169" w:type="dxa"/>
            <w:vAlign w:val="top"/>
          </w:tcPr>
          <w:p>
            <w:pPr>
              <w:spacing w:line="360" w:lineRule="exact"/>
              <w:rPr>
                <w:rFonts w:hint="eastAsia" w:ascii="宋体" w:hAnsi="宋体" w:eastAsia="宋体" w:cs="宋体"/>
                <w:bCs/>
                <w:color w:val="auto"/>
                <w:sz w:val="24"/>
                <w:highlight w:val="none"/>
                <w:lang w:val="en-US" w:eastAsia="zh-CN"/>
              </w:rPr>
            </w:pPr>
            <w:r>
              <w:rPr>
                <w:rFonts w:hint="eastAsia" w:ascii="宋体" w:hAnsi="宋体" w:cs="宋体"/>
                <w:b w:val="0"/>
                <w:bCs w:val="0"/>
                <w:color w:val="auto"/>
                <w:sz w:val="24"/>
                <w:highlight w:val="none"/>
                <w:lang w:eastAsia="zh-CN"/>
              </w:rPr>
              <w:t>第</w:t>
            </w:r>
            <w:r>
              <w:rPr>
                <w:rFonts w:hint="eastAsia" w:ascii="宋体" w:hAnsi="宋体" w:cs="宋体"/>
                <w:b w:val="0"/>
                <w:bCs w:val="0"/>
                <w:color w:val="auto"/>
                <w:sz w:val="24"/>
                <w:highlight w:val="none"/>
                <w:lang w:val="en-US" w:eastAsia="zh-CN"/>
              </w:rPr>
              <w:t>二十九</w:t>
            </w:r>
            <w:r>
              <w:rPr>
                <w:rFonts w:hint="eastAsia" w:ascii="宋体" w:hAnsi="宋体" w:cs="宋体"/>
                <w:b w:val="0"/>
                <w:bCs w:val="0"/>
                <w:color w:val="auto"/>
                <w:sz w:val="24"/>
                <w:highlight w:val="none"/>
                <w:lang w:eastAsia="zh-CN"/>
              </w:rPr>
              <w:t>标段</w:t>
            </w:r>
            <w:r>
              <w:rPr>
                <w:rFonts w:hint="eastAsia" w:ascii="宋体" w:hAnsi="宋体" w:eastAsia="宋体" w:cs="宋体"/>
                <w:b w:val="0"/>
                <w:bCs w:val="0"/>
                <w:color w:val="auto"/>
                <w:sz w:val="24"/>
                <w:highlight w:val="none"/>
              </w:rPr>
              <w:tab/>
            </w:r>
            <w:r>
              <w:rPr>
                <w:rFonts w:hint="eastAsia" w:ascii="宋体" w:hAnsi="宋体" w:eastAsia="宋体" w:cs="宋体"/>
                <w:b w:val="0"/>
                <w:bCs w:val="0"/>
                <w:color w:val="auto"/>
                <w:sz w:val="24"/>
                <w:highlight w:val="none"/>
              </w:rPr>
              <w:t>人民</w:t>
            </w:r>
            <w:r>
              <w:rPr>
                <w:rFonts w:hint="eastAsia" w:ascii="宋体" w:hAnsi="宋体" w:eastAsia="宋体" w:cs="宋体"/>
                <w:b w:val="0"/>
                <w:bCs w:val="0"/>
                <w:color w:val="auto"/>
                <w:sz w:val="24"/>
                <w:highlight w:val="none"/>
                <w:lang w:val="en-US" w:eastAsia="zh-CN"/>
              </w:rPr>
              <w:t>币1677.60万元</w:t>
            </w:r>
          </w:p>
          <w:p>
            <w:pPr>
              <w:spacing w:line="360" w:lineRule="exac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不得超出此采购预算及产品分项</w:t>
            </w:r>
            <w:r>
              <w:rPr>
                <w:rFonts w:hint="eastAsia" w:ascii="宋体" w:hAnsi="宋体" w:cs="宋体"/>
                <w:b/>
                <w:bCs/>
                <w:color w:val="auto"/>
                <w:sz w:val="24"/>
                <w:highlight w:val="none"/>
                <w:lang w:val="en-US" w:eastAsia="zh-CN"/>
              </w:rPr>
              <w:t>预算</w:t>
            </w:r>
            <w:r>
              <w:rPr>
                <w:rFonts w:hint="eastAsia" w:ascii="宋体" w:hAnsi="宋体" w:eastAsia="宋体" w:cs="宋体"/>
                <w:color w:val="auto"/>
                <w:sz w:val="24"/>
                <w:highlight w:val="none"/>
              </w:rPr>
              <w:t>，投标报价超出预算价格的，投标无效。</w:t>
            </w:r>
          </w:p>
          <w:tbl>
            <w:tblPr>
              <w:tblStyle w:val="25"/>
              <w:tblW w:w="7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2366"/>
              <w:gridCol w:w="1252"/>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采购内容</w:t>
                  </w:r>
                </w:p>
              </w:tc>
              <w:tc>
                <w:tcPr>
                  <w:tcW w:w="2366"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eastAsia="zh-CN"/>
                    </w:rPr>
                    <w:t>预算单价（万元）</w:t>
                  </w:r>
                </w:p>
              </w:tc>
              <w:tc>
                <w:tcPr>
                  <w:tcW w:w="125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采购数量</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val="en-US" w:eastAsia="zh-CN"/>
                    </w:rPr>
                    <w:t>预算金额</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万元</w:t>
                  </w:r>
                  <w:r>
                    <w:rPr>
                      <w:rFonts w:hint="eastAsia" w:ascii="宋体" w:hAnsi="宋体" w:eastAsia="宋体" w:cs="宋体"/>
                      <w:bCs/>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空气呼吸器</w:t>
                  </w:r>
                </w:p>
              </w:tc>
              <w:tc>
                <w:tcPr>
                  <w:tcW w:w="2366" w:type="dxa"/>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default" w:ascii="宋体" w:hAnsi="宋体" w:eastAsia="宋体" w:cs="宋体"/>
                      <w:b w:val="0"/>
                      <w:bCs w:val="0"/>
                      <w:color w:val="auto"/>
                      <w:sz w:val="24"/>
                      <w:highlight w:val="none"/>
                      <w:lang w:val="en-US" w:eastAsia="zh-CN"/>
                    </w:rPr>
                    <w:t xml:space="preserve">0.80 </w:t>
                  </w:r>
                </w:p>
              </w:tc>
              <w:tc>
                <w:tcPr>
                  <w:tcW w:w="1252" w:type="dxa"/>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2097</w:t>
                  </w:r>
                </w:p>
              </w:tc>
              <w:tc>
                <w:tcPr>
                  <w:tcW w:w="1902" w:type="dxa"/>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1677.60</w:t>
                  </w:r>
                </w:p>
              </w:tc>
            </w:tr>
          </w:tbl>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投标人应对一个完整的标段进行投标，否则其投标无效。</w:t>
            </w:r>
          </w:p>
          <w:p>
            <w:pPr>
              <w:pStyle w:val="1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报价要求:只允许有一个报价，任何有选择性的报价或者有附加条件的报价</w:t>
            </w:r>
            <w:r>
              <w:rPr>
                <w:rFonts w:hint="eastAsia" w:ascii="宋体" w:eastAsia="宋体" w:cs="宋体"/>
                <w:b w:val="0"/>
                <w:bCs w:val="0"/>
                <w:color w:val="auto"/>
                <w:sz w:val="24"/>
                <w:szCs w:val="24"/>
                <w:highlight w:val="none"/>
                <w:lang w:eastAsia="zh-CN"/>
              </w:rPr>
              <w:t>采购人</w:t>
            </w:r>
            <w:r>
              <w:rPr>
                <w:rFonts w:hint="eastAsia" w:ascii="宋体" w:hAnsi="宋体" w:eastAsia="宋体" w:cs="宋体"/>
                <w:b w:val="0"/>
                <w:bCs w:val="0"/>
                <w:color w:val="auto"/>
                <w:sz w:val="24"/>
                <w:szCs w:val="24"/>
                <w:highlight w:val="none"/>
              </w:rPr>
              <w:t>将不予接受。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17</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b w:val="0"/>
                <w:bCs w:val="0"/>
                <w:color w:val="auto"/>
                <w:sz w:val="24"/>
                <w:highlight w:val="none"/>
              </w:rPr>
              <w:t>投标货币</w:t>
            </w:r>
          </w:p>
        </w:tc>
        <w:tc>
          <w:tcPr>
            <w:tcW w:w="8169" w:type="dxa"/>
            <w:vAlign w:val="center"/>
          </w:tcPr>
          <w:p>
            <w:pPr>
              <w:spacing w:line="360" w:lineRule="exact"/>
              <w:jc w:val="left"/>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0"/>
                <w:sz w:val="24"/>
                <w:highlight w:val="none"/>
              </w:rPr>
              <w:t>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投标书的编制和递交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18</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金额</w:t>
            </w:r>
          </w:p>
        </w:tc>
        <w:tc>
          <w:tcPr>
            <w:tcW w:w="8169" w:type="dxa"/>
            <w:tcBorders>
              <w:top w:val="single" w:color="auto" w:sz="4" w:space="0"/>
            </w:tcBorders>
            <w:vAlign w:val="center"/>
          </w:tcPr>
          <w:p>
            <w:pPr>
              <w:spacing w:line="360" w:lineRule="exact"/>
              <w:rPr>
                <w:rFonts w:hint="eastAsia" w:ascii="宋体" w:hAnsi="宋体" w:eastAsia="宋体" w:cs="宋体"/>
                <w:b w:val="0"/>
                <w:bCs w:val="0"/>
                <w:color w:val="auto"/>
                <w:kern w:val="2"/>
                <w:sz w:val="21"/>
                <w:szCs w:val="24"/>
                <w:highlight w:val="none"/>
                <w:lang w:val="en-US" w:eastAsia="zh-CN" w:bidi="ar-SA"/>
              </w:rPr>
            </w:pPr>
            <w:r>
              <w:rPr>
                <w:rFonts w:hint="eastAsia" w:ascii="宋体" w:hAnsi="宋体" w:cs="宋体"/>
                <w:b w:val="0"/>
                <w:bCs w:val="0"/>
                <w:color w:val="auto"/>
                <w:sz w:val="24"/>
                <w:highlight w:val="none"/>
                <w:lang w:eastAsia="zh-CN"/>
              </w:rPr>
              <w:t>第</w:t>
            </w:r>
            <w:r>
              <w:rPr>
                <w:rFonts w:hint="eastAsia" w:ascii="宋体" w:hAnsi="宋体" w:cs="宋体"/>
                <w:b w:val="0"/>
                <w:bCs w:val="0"/>
                <w:color w:val="auto"/>
                <w:sz w:val="24"/>
                <w:highlight w:val="none"/>
                <w:lang w:val="en-US" w:eastAsia="zh-CN"/>
              </w:rPr>
              <w:t>二十九</w:t>
            </w:r>
            <w:r>
              <w:rPr>
                <w:rFonts w:hint="eastAsia" w:ascii="宋体" w:hAnsi="宋体" w:cs="宋体"/>
                <w:b w:val="0"/>
                <w:bCs w:val="0"/>
                <w:color w:val="auto"/>
                <w:sz w:val="24"/>
                <w:highlight w:val="none"/>
                <w:lang w:eastAsia="zh-CN"/>
              </w:rPr>
              <w:t>标段</w:t>
            </w:r>
            <w:r>
              <w:rPr>
                <w:rFonts w:hint="eastAsia" w:ascii="宋体" w:hAnsi="宋体" w:cs="宋体"/>
                <w:b w:val="0"/>
                <w:bCs w:val="0"/>
                <w:color w:val="auto"/>
                <w:sz w:val="24"/>
                <w:highlight w:val="none"/>
                <w:lang w:val="en-US" w:eastAsia="zh-CN"/>
              </w:rPr>
              <w:t xml:space="preserve"> </w:t>
            </w:r>
            <w:r>
              <w:rPr>
                <w:rFonts w:hint="eastAsia" w:ascii="宋体" w:hAnsi="宋体" w:eastAsia="宋体" w:cs="宋体"/>
                <w:bCs/>
                <w:color w:val="auto"/>
                <w:sz w:val="24"/>
                <w:szCs w:val="24"/>
                <w:highlight w:val="none"/>
                <w:lang w:eastAsia="zh-CN"/>
              </w:rPr>
              <w:t>人民币</w:t>
            </w:r>
            <w:r>
              <w:rPr>
                <w:rFonts w:hint="eastAsia" w:ascii="宋体" w:hAnsi="宋体" w:cs="宋体"/>
                <w:bCs/>
                <w:color w:val="auto"/>
                <w:sz w:val="24"/>
                <w:szCs w:val="24"/>
                <w:highlight w:val="none"/>
                <w:lang w:val="en-US" w:eastAsia="zh-CN"/>
              </w:rPr>
              <w:t>160029</w:t>
            </w:r>
            <w:r>
              <w:rPr>
                <w:rFonts w:hint="eastAsia" w:ascii="宋体" w:hAnsi="宋体" w:eastAsia="宋体" w:cs="宋体"/>
                <w:bCs/>
                <w:color w:val="auto"/>
                <w:sz w:val="24"/>
                <w:szCs w:val="24"/>
                <w:highlight w:val="none"/>
                <w:lang w:val="en-US" w:eastAsia="zh-CN"/>
              </w:rPr>
              <w:t>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19</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形式</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投标保证金形式：投标人应在投标截止时间前将投标保证金采用电汇、转账、支票、汇票、本票或者金融机构、担保机构出具的保函等非现金形式交纳，投标保证金应当从投标人的基本账户转出。</w:t>
            </w:r>
            <w:r>
              <w:rPr>
                <w:rFonts w:hint="eastAsia" w:ascii="宋体" w:hAnsi="宋体" w:cs="宋体"/>
                <w:b w:val="0"/>
                <w:bCs w:val="0"/>
                <w:color w:val="auto"/>
                <w:sz w:val="24"/>
                <w:highlight w:val="none"/>
                <w:lang w:eastAsia="zh-CN"/>
              </w:rPr>
              <w:t>采购人</w:t>
            </w:r>
            <w:r>
              <w:rPr>
                <w:rFonts w:hint="eastAsia" w:ascii="宋体" w:hAnsi="宋体" w:eastAsia="宋体" w:cs="宋体"/>
                <w:b w:val="0"/>
                <w:bCs w:val="0"/>
                <w:color w:val="auto"/>
                <w:sz w:val="24"/>
                <w:highlight w:val="none"/>
              </w:rPr>
              <w:t>不接受以现金方式提交的投标保证金，投标人未按照招标文件要求提交投标保证金的，投标无效。</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投标保证金账户：</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账户名称：中峪国际项目管理有限公司</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开户行名称：兴业银行长春二道支行</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账      号：581050100100186135</w:t>
            </w:r>
          </w:p>
          <w:p>
            <w:pPr>
              <w:spacing w:line="360" w:lineRule="exact"/>
              <w:outlineLvl w:val="9"/>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szCs w:val="24"/>
                <w:highlight w:val="none"/>
              </w:rPr>
              <w:t>保证金的缴纳以到账时间为准</w:t>
            </w:r>
            <w:r>
              <w:rPr>
                <w:rFonts w:hint="eastAsia" w:ascii="宋体" w:hAnsi="宋体" w:eastAsia="宋体" w:cs="宋体"/>
                <w:b w:val="0"/>
                <w:bCs w:val="0"/>
                <w:color w:val="auto"/>
                <w:sz w:val="24"/>
                <w:highlight w:val="none"/>
                <w:lang w:eastAsia="zh-CN"/>
              </w:rPr>
              <w:t>，</w:t>
            </w:r>
            <w:r>
              <w:rPr>
                <w:rFonts w:hint="eastAsia" w:ascii="宋体" w:hAnsi="宋体" w:eastAsia="宋体" w:cs="宋体"/>
                <w:color w:val="auto"/>
                <w:sz w:val="24"/>
                <w:szCs w:val="24"/>
                <w:highlight w:val="none"/>
              </w:rPr>
              <w:t>投标保证金截止时间同投标截止时间（开标时间）。</w:t>
            </w:r>
          </w:p>
          <w:p>
            <w:pPr>
              <w:spacing w:line="360" w:lineRule="exac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要求：（1）投标人提供基本账户开户许可证</w:t>
            </w:r>
            <w:r>
              <w:rPr>
                <w:rFonts w:hint="eastAsia" w:ascii="宋体" w:hAnsi="宋体" w:eastAsia="宋体" w:cs="宋体"/>
                <w:color w:val="auto"/>
                <w:sz w:val="24"/>
                <w:szCs w:val="24"/>
                <w:highlight w:val="none"/>
                <w:lang w:eastAsia="zh-CN"/>
              </w:rPr>
              <w:t>（或基本存款账户信息）</w:t>
            </w:r>
            <w:r>
              <w:rPr>
                <w:rFonts w:hint="eastAsia" w:ascii="宋体" w:hAnsi="宋体" w:eastAsia="宋体" w:cs="宋体"/>
                <w:color w:val="auto"/>
                <w:sz w:val="24"/>
                <w:szCs w:val="24"/>
                <w:highlight w:val="none"/>
              </w:rPr>
              <w:t>复印件及投标保证金缴纳凭证复印件装入到投标文件中。</w:t>
            </w:r>
          </w:p>
          <w:p>
            <w:pPr>
              <w:numPr>
                <w:ilvl w:val="0"/>
                <w:numId w:val="1"/>
              </w:numPr>
              <w:spacing w:line="360" w:lineRule="exac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"mailto:以保函形式提交投标保证金的，须在开标截止时间前将保函电子版扫描件提交到招标代理机构邮箱（19959771@qq.com），原件递交至招标代理机构，复印件装入投标文件中。" </w:instrText>
            </w:r>
            <w:r>
              <w:rPr>
                <w:rFonts w:hint="eastAsia" w:ascii="宋体" w:hAnsi="宋体" w:eastAsia="宋体" w:cs="宋体"/>
                <w:color w:val="auto"/>
                <w:sz w:val="24"/>
                <w:szCs w:val="24"/>
                <w:highlight w:val="none"/>
              </w:rPr>
              <w:fldChar w:fldCharType="separate"/>
            </w:r>
            <w:r>
              <w:rPr>
                <w:rStyle w:val="30"/>
                <w:rFonts w:hint="eastAsia" w:ascii="宋体" w:hAnsi="宋体" w:eastAsia="宋体" w:cs="宋体"/>
                <w:color w:val="auto"/>
                <w:sz w:val="24"/>
                <w:szCs w:val="24"/>
                <w:highlight w:val="none"/>
              </w:rPr>
              <w:t>以保函形式提交投标保证金的，须在开标截止时间前将保函电子版扫描件提交到</w:t>
            </w:r>
            <w:r>
              <w:rPr>
                <w:rStyle w:val="30"/>
                <w:rFonts w:hint="eastAsia" w:ascii="宋体" w:hAnsi="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邮箱（</w:t>
            </w:r>
            <w:r>
              <w:rPr>
                <w:rStyle w:val="30"/>
                <w:rFonts w:hint="eastAsia" w:ascii="宋体" w:hAnsi="宋体" w:eastAsia="宋体" w:cs="宋体"/>
                <w:color w:val="auto"/>
                <w:sz w:val="24"/>
                <w:szCs w:val="24"/>
                <w:highlight w:val="none"/>
                <w:lang w:val="en-US" w:eastAsia="zh-CN"/>
              </w:rPr>
              <w:t>805785499@qq.com</w:t>
            </w:r>
            <w:r>
              <w:rPr>
                <w:rStyle w:val="30"/>
                <w:rFonts w:hint="eastAsia" w:ascii="宋体" w:hAnsi="宋体" w:eastAsia="宋体" w:cs="宋体"/>
                <w:color w:val="auto"/>
                <w:sz w:val="24"/>
                <w:szCs w:val="24"/>
                <w:highlight w:val="none"/>
              </w:rPr>
              <w:t>），原件递交至</w:t>
            </w:r>
            <w:r>
              <w:rPr>
                <w:rStyle w:val="30"/>
                <w:rFonts w:hint="eastAsia" w:ascii="宋体" w:hAnsi="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，复印件装入投标文件中。</w:t>
            </w:r>
            <w:r>
              <w:rPr>
                <w:rFonts w:hint="eastAsia" w:ascii="宋体" w:hAnsi="宋体" w:eastAsia="宋体" w:cs="宋体"/>
                <w:color w:val="auto"/>
                <w:sz w:val="24"/>
                <w:szCs w:val="24"/>
                <w:highlight w:val="none"/>
              </w:rPr>
              <w:fldChar w:fldCharType="end"/>
            </w:r>
          </w:p>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bCs/>
                <w:color w:val="auto"/>
                <w:sz w:val="24"/>
                <w:szCs w:val="24"/>
                <w:highlight w:val="none"/>
              </w:rPr>
              <w:t>注：投标保证金是投标文件的组成部分，未按要求提交的，视为放弃投标，采购人将不接受其投标文件。投标人须在银行进帐单上注明“</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rPr>
              <w:t>项目</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rPr>
              <w:t>标段”的投标保证金（例如：</w:t>
            </w:r>
            <w:r>
              <w:rPr>
                <w:rFonts w:hint="eastAsia" w:ascii="宋体" w:hAnsi="宋体" w:cs="宋体"/>
                <w:b/>
                <w:bCs/>
                <w:color w:val="0000FF"/>
                <w:sz w:val="24"/>
                <w:szCs w:val="24"/>
                <w:highlight w:val="none"/>
                <w:lang w:val="en-US" w:eastAsia="zh-CN"/>
              </w:rPr>
              <w:t>防护攻坚装备</w:t>
            </w:r>
            <w:r>
              <w:rPr>
                <w:rFonts w:hint="eastAsia" w:ascii="宋体" w:hAnsi="宋体" w:eastAsia="宋体" w:cs="宋体"/>
                <w:b/>
                <w:bCs/>
                <w:color w:val="0000FF"/>
                <w:sz w:val="24"/>
                <w:szCs w:val="24"/>
                <w:highlight w:val="none"/>
              </w:rPr>
              <w:t>项目XX标段</w:t>
            </w:r>
            <w:r>
              <w:rPr>
                <w:rFonts w:hint="eastAsia" w:ascii="宋体" w:hAnsi="宋体" w:eastAsia="宋体" w:cs="宋体"/>
                <w:b/>
                <w:bCs/>
                <w:color w:val="auto"/>
                <w:sz w:val="24"/>
                <w:szCs w:val="24"/>
                <w:highlight w:val="none"/>
              </w:rPr>
              <w:t>），以便核对查实。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eastAsia="zh-CN"/>
              </w:rPr>
            </w:pPr>
            <w:r>
              <w:rPr>
                <w:rFonts w:hint="eastAsia" w:ascii="宋体" w:hAnsi="宋体" w:eastAsia="宋体" w:cs="宋体"/>
                <w:color w:val="auto"/>
                <w:sz w:val="24"/>
                <w:highlight w:val="none"/>
                <w:lang w:val="en-US" w:eastAsia="zh-CN"/>
              </w:rPr>
              <w:t>20</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b w:val="0"/>
                <w:bCs w:val="0"/>
                <w:color w:val="auto"/>
                <w:sz w:val="24"/>
                <w:highlight w:val="none"/>
              </w:rPr>
              <w:t>投标有效期</w:t>
            </w:r>
          </w:p>
        </w:tc>
        <w:tc>
          <w:tcPr>
            <w:tcW w:w="8169" w:type="dxa"/>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投标有效期：90天。</w:t>
            </w:r>
          </w:p>
          <w:p>
            <w:pPr>
              <w:spacing w:line="360" w:lineRule="exact"/>
              <w:jc w:val="left"/>
              <w:rPr>
                <w:rFonts w:hint="eastAsia" w:ascii="宋体" w:hAnsi="宋体" w:eastAsia="宋体" w:cs="宋体"/>
                <w:b w:val="0"/>
                <w:bCs w:val="0"/>
                <w:i/>
                <w:iCs/>
                <w:color w:val="auto"/>
                <w:kern w:val="2"/>
                <w:sz w:val="24"/>
                <w:szCs w:val="24"/>
                <w:highlight w:val="none"/>
                <w:lang w:val="en-US" w:eastAsia="zh-CN" w:bidi="ar-SA"/>
              </w:rPr>
            </w:pPr>
            <w:r>
              <w:rPr>
                <w:rFonts w:hint="eastAsia" w:ascii="宋体" w:hAnsi="宋体" w:eastAsia="宋体" w:cs="宋体"/>
                <w:b w:val="0"/>
                <w:bCs w:val="0"/>
                <w:color w:val="auto"/>
                <w:sz w:val="24"/>
                <w:highlight w:val="none"/>
              </w:rPr>
              <w:t>投标保证金有效期应与投标有效期一致。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投标文件份数</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正本</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rPr>
              <w:t>份，副本</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份（含技术及商务等所有文件），电子版普通U盘2份（WORD一份、按招标文件要求签字并加盖公章的PDF扫描件一份，U盘拷贝）。</w:t>
            </w:r>
          </w:p>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（电子版文件应为投标文件正本的扫描件）。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restart"/>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22</w:t>
            </w:r>
          </w:p>
        </w:tc>
        <w:tc>
          <w:tcPr>
            <w:tcW w:w="1456" w:type="dxa"/>
            <w:tcBorders>
              <w:left w:val="single" w:color="auto" w:sz="4" w:space="0"/>
              <w:bottom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投标截止、开标时间</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4"/>
                <w:highlight w:val="none"/>
              </w:rPr>
              <w:t>202</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07</w:t>
            </w:r>
            <w:r>
              <w:rPr>
                <w:rFonts w:hint="eastAsia" w:ascii="宋体" w:hAnsi="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时00分</w:t>
            </w:r>
            <w:r>
              <w:rPr>
                <w:rFonts w:hint="eastAsia" w:ascii="宋体" w:hAnsi="宋体" w:eastAsia="宋体" w:cs="宋体"/>
                <w:b w:val="0"/>
                <w:bCs w:val="0"/>
                <w:color w:val="auto"/>
                <w:sz w:val="24"/>
                <w:highlight w:val="none"/>
                <w:lang w:val="zh-CN"/>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continue"/>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投标文件递交、开标地点</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地址：</w:t>
            </w:r>
            <w:r>
              <w:rPr>
                <w:rFonts w:hint="eastAsia" w:ascii="宋体" w:hAnsi="宋体" w:eastAsia="宋体" w:cs="宋体"/>
                <w:color w:val="auto"/>
                <w:sz w:val="24"/>
                <w:highlight w:val="none"/>
                <w:lang w:val="en-US" w:eastAsia="zh-CN"/>
              </w:rPr>
              <w:t>东北亚国际金融中心（人民大街与谊民路交汇东行100米）3号楼1楼（仅开放东门、从东门进入）第</w:t>
            </w:r>
            <w:r>
              <w:rPr>
                <w:rFonts w:hint="eastAsia" w:ascii="宋体" w:hAnsi="宋体" w:cs="宋体"/>
                <w:color w:val="auto"/>
                <w:sz w:val="24"/>
                <w:highlight w:val="none"/>
                <w:lang w:val="en-US" w:eastAsia="zh-CN"/>
              </w:rPr>
              <w:t>二</w:t>
            </w:r>
            <w:r>
              <w:rPr>
                <w:rFonts w:hint="eastAsia" w:ascii="宋体" w:hAnsi="宋体" w:eastAsia="宋体" w:cs="宋体"/>
                <w:color w:val="auto"/>
                <w:sz w:val="24"/>
                <w:highlight w:val="none"/>
                <w:lang w:val="en-US" w:eastAsia="zh-CN"/>
              </w:rPr>
              <w:t>开标室。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评标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评标委员会</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组成</w:t>
            </w:r>
          </w:p>
        </w:tc>
        <w:tc>
          <w:tcPr>
            <w:tcW w:w="8169" w:type="dxa"/>
            <w:tcBorders>
              <w:left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rPr>
              <w:t>共</w:t>
            </w:r>
            <w:r>
              <w:rPr>
                <w:rFonts w:hint="eastAsia" w:ascii="宋体" w:hAnsi="宋体" w:eastAsia="宋体" w:cs="宋体"/>
                <w:b w:val="0"/>
                <w:bCs w:val="0"/>
                <w:color w:val="auto"/>
                <w:sz w:val="24"/>
                <w:highlight w:val="none"/>
                <w:lang w:val="en-US" w:eastAsia="zh-CN"/>
              </w:rPr>
              <w:t>7</w:t>
            </w:r>
            <w:r>
              <w:rPr>
                <w:rFonts w:hint="eastAsia" w:ascii="宋体" w:hAnsi="宋体" w:eastAsia="宋体" w:cs="宋体"/>
                <w:b w:val="0"/>
                <w:bCs w:val="0"/>
                <w:color w:val="auto"/>
                <w:sz w:val="24"/>
                <w:highlight w:val="none"/>
              </w:rPr>
              <w:t>人，</w:t>
            </w:r>
            <w:r>
              <w:rPr>
                <w:rFonts w:hint="eastAsia" w:ascii="宋体" w:hAnsi="宋体" w:eastAsia="宋体" w:cs="宋体"/>
                <w:b w:val="0"/>
                <w:bCs w:val="0"/>
                <w:color w:val="auto"/>
                <w:sz w:val="24"/>
                <w:highlight w:val="none"/>
                <w:lang w:val="zh-CN"/>
              </w:rPr>
              <w:t>其中</w:t>
            </w:r>
            <w:r>
              <w:rPr>
                <w:rFonts w:hint="eastAsia" w:ascii="宋体" w:hAnsi="宋体" w:eastAsia="宋体" w:cs="宋体"/>
                <w:b w:val="0"/>
                <w:bCs w:val="0"/>
                <w:color w:val="auto"/>
                <w:sz w:val="24"/>
                <w:highlight w:val="none"/>
                <w:lang w:val="en-US" w:eastAsia="zh-CN"/>
              </w:rPr>
              <w:t>采购</w:t>
            </w:r>
            <w:r>
              <w:rPr>
                <w:rFonts w:hint="eastAsia" w:ascii="宋体" w:hAnsi="宋体" w:eastAsia="宋体" w:cs="宋体"/>
                <w:b w:val="0"/>
                <w:bCs w:val="0"/>
                <w:color w:val="auto"/>
                <w:sz w:val="24"/>
                <w:highlight w:val="none"/>
                <w:lang w:val="zh-CN"/>
              </w:rPr>
              <w:t>人代表</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lang w:val="zh-CN"/>
              </w:rPr>
              <w:t>人</w:t>
            </w:r>
            <w:r>
              <w:rPr>
                <w:rFonts w:hint="eastAsia" w:ascii="宋体" w:hAnsi="宋体" w:eastAsia="宋体" w:cs="宋体"/>
                <w:b w:val="0"/>
                <w:bCs w:val="0"/>
                <w:color w:val="auto"/>
                <w:sz w:val="24"/>
                <w:highlight w:val="none"/>
              </w:rPr>
              <w:t>，外聘</w:t>
            </w:r>
            <w:r>
              <w:rPr>
                <w:rFonts w:hint="eastAsia" w:ascii="宋体" w:hAnsi="宋体" w:eastAsia="宋体" w:cs="宋体"/>
                <w:b w:val="0"/>
                <w:bCs w:val="0"/>
                <w:color w:val="auto"/>
                <w:sz w:val="24"/>
                <w:highlight w:val="none"/>
                <w:lang w:val="zh-CN"/>
              </w:rPr>
              <w:t>专家</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lang w:val="zh-CN"/>
              </w:rPr>
              <w:t>人；</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zh-CN"/>
              </w:rPr>
              <w:t>评标专家确定方式：</w:t>
            </w:r>
            <w:r>
              <w:rPr>
                <w:rFonts w:hint="eastAsia" w:ascii="宋体" w:hAnsi="宋体" w:eastAsia="宋体" w:cs="宋体"/>
                <w:b w:val="0"/>
                <w:bCs w:val="0"/>
                <w:color w:val="auto"/>
                <w:sz w:val="24"/>
                <w:highlight w:val="none"/>
              </w:rPr>
              <w:t>外聘专家从吉林省省级评标专家库中随机抽取。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评标方法</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综合评分</w:t>
            </w:r>
            <w:r>
              <w:rPr>
                <w:rFonts w:hint="eastAsia" w:ascii="宋体" w:hAnsi="宋体" w:eastAsia="宋体" w:cs="宋体"/>
                <w:b w:val="0"/>
                <w:bCs w:val="0"/>
                <w:color w:val="auto"/>
                <w:sz w:val="24"/>
                <w:highlight w:val="none"/>
              </w:rPr>
              <w:t>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授予合同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2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*履约保证金</w:t>
            </w:r>
          </w:p>
        </w:tc>
        <w:tc>
          <w:tcPr>
            <w:tcW w:w="8169" w:type="dxa"/>
            <w:tcBorders>
              <w:left w:val="single" w:color="auto" w:sz="4" w:space="0"/>
            </w:tcBorders>
            <w:vAlign w:val="center"/>
          </w:tcPr>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中标人应在订立采购合同之前向采购人提交合同总价5%的履约保证金。履约保证金应以</w:t>
            </w:r>
            <w:r>
              <w:rPr>
                <w:rFonts w:hint="eastAsia" w:ascii="宋体" w:hAnsi="宋体" w:eastAsia="宋体" w:cs="宋体"/>
                <w:b w:val="0"/>
                <w:bCs w:val="0"/>
                <w:color w:val="auto"/>
                <w:sz w:val="24"/>
                <w:szCs w:val="24"/>
                <w:highlight w:val="none"/>
                <w:lang w:val="en-US" w:eastAsia="zh-CN"/>
              </w:rPr>
              <w:t>银行转账或</w:t>
            </w:r>
            <w:r>
              <w:rPr>
                <w:rFonts w:hint="eastAsia" w:ascii="宋体" w:hAnsi="宋体" w:eastAsia="宋体" w:cs="宋体"/>
                <w:b w:val="0"/>
                <w:bCs w:val="0"/>
                <w:color w:val="auto"/>
                <w:sz w:val="24"/>
                <w:szCs w:val="24"/>
                <w:highlight w:val="none"/>
              </w:rPr>
              <w:t>支票、汇票、本票或者金融机构、担保机构出具的保函等非现金形式提交。如未按时交纳履约保证金，视为自动放弃中标资格。</w:t>
            </w:r>
          </w:p>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履约保证金退还的时间：待中标人履行合同约定后，不计利息一次性退还。具体内容以合同约定为准。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b w:val="0"/>
                <w:bCs w:val="0"/>
                <w:color w:val="auto"/>
                <w:sz w:val="24"/>
                <w:highlight w:val="none"/>
              </w:rPr>
              <w:t>税票要求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符合现行阶段要求。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培训要求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详见招标文件技术需求部分。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*质保期</w:t>
            </w:r>
          </w:p>
        </w:tc>
        <w:tc>
          <w:tcPr>
            <w:tcW w:w="8169" w:type="dxa"/>
            <w:tcBorders>
              <w:left w:val="single" w:color="auto" w:sz="4" w:space="0"/>
            </w:tcBorders>
            <w:vAlign w:val="top"/>
          </w:tcPr>
          <w:p>
            <w:pPr>
              <w:spacing w:line="36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自货物最终验收合格之日起质保</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年，保修期</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年，保修期自质保期届满之日起计算。</w:t>
            </w:r>
            <w:r>
              <w:rPr>
                <w:rFonts w:hint="eastAsia" w:ascii="宋体" w:hAnsi="宋体" w:cs="宋体"/>
                <w:b w:val="0"/>
                <w:bCs w:val="0"/>
                <w:color w:val="auto"/>
                <w:sz w:val="24"/>
                <w:szCs w:val="24"/>
                <w:highlight w:val="none"/>
                <w:lang w:eastAsia="zh-CN"/>
              </w:rPr>
              <w:t>保修期内的质量问题必须及时免费提供维修服务，</w:t>
            </w:r>
            <w:r>
              <w:rPr>
                <w:rFonts w:hint="eastAsia" w:ascii="宋体" w:hAnsi="宋体" w:eastAsia="宋体" w:cs="宋体"/>
                <w:b w:val="0"/>
                <w:bCs w:val="0"/>
                <w:color w:val="auto"/>
                <w:sz w:val="24"/>
                <w:szCs w:val="24"/>
                <w:highlight w:val="none"/>
              </w:rPr>
              <w:t>人工、备品、备件及耗材</w:t>
            </w:r>
            <w:r>
              <w:rPr>
                <w:rFonts w:hint="eastAsia" w:ascii="宋体" w:hAnsi="宋体" w:cs="宋体"/>
                <w:bCs/>
                <w:color w:val="auto"/>
                <w:sz w:val="24"/>
                <w:szCs w:val="24"/>
                <w:highlight w:val="none"/>
              </w:rPr>
              <w:t>承诺保证供应且价格</w:t>
            </w:r>
            <w:r>
              <w:rPr>
                <w:rFonts w:hint="eastAsia" w:ascii="宋体" w:hAnsi="宋体" w:cs="宋体"/>
                <w:bCs/>
                <w:color w:val="auto"/>
                <w:sz w:val="24"/>
                <w:szCs w:val="24"/>
                <w:highlight w:val="none"/>
                <w:lang w:eastAsia="zh-CN"/>
              </w:rPr>
              <w:t>优惠</w:t>
            </w:r>
            <w:r>
              <w:rPr>
                <w:rFonts w:hint="eastAsia" w:ascii="宋体" w:hAnsi="宋体" w:cs="宋体"/>
                <w:b w:val="0"/>
                <w:bCs w:val="0"/>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*售后服务要求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一、</w:t>
            </w:r>
            <w:r>
              <w:rPr>
                <w:rFonts w:hint="eastAsia" w:ascii="宋体" w:hAnsi="宋体" w:eastAsia="宋体" w:cs="宋体"/>
                <w:b w:val="0"/>
                <w:bCs w:val="0"/>
                <w:color w:val="auto"/>
                <w:sz w:val="24"/>
                <w:highlight w:val="none"/>
                <w:lang w:val="en-US" w:eastAsia="zh-CN"/>
              </w:rPr>
              <w:t xml:space="preserve">有完善售后体系：    </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1.2提供售后培训和定期巡检。装备交付时对指战员进行集中培训，确保学懂弄通并熟练操作。每年派技术人员到消防救援站进行巡检，建立常态化培训和巡检机制。</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1.3投标人需设立24小时值守电话，畅通即时响应售后受理渠道。维修技术人员必须在指定时间内到达现场并开展维修。遇不可抗力，不能在甲方指定的时间内到达维修地点的，，要及时通知报修单位并说明原因。</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1.4提供联勤联动机制。遇有重大灾害事故处置，要快速响应，投标人需选派素质好、业务精的人员遂行技术保障，提供技术支持、现场抢修等应急技术服务。</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1.5投标人对消防救援队伍提出的维修需求,要及时响应、远程指导修复。对远程指导不能修复的,要派技术人员48小时内到场维修。国内有配件的一般故障在48小时内修复,较大故障一周内修复。国内没有配件的,应在60日内提供配件并修复。 </w:t>
            </w:r>
          </w:p>
          <w:p>
            <w:pPr>
              <w:spacing w:line="360" w:lineRule="exact"/>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w:t>
            </w:r>
            <w:r>
              <w:rPr>
                <w:rFonts w:hint="eastAsia" w:ascii="宋体" w:hAnsi="宋体" w:cs="宋体"/>
                <w:b w:val="0"/>
                <w:bCs w:val="0"/>
                <w:color w:val="auto"/>
                <w:sz w:val="24"/>
                <w:highlight w:val="none"/>
                <w:lang w:val="en-US" w:eastAsia="zh-CN"/>
              </w:rPr>
              <w:t>6</w:t>
            </w:r>
            <w:r>
              <w:rPr>
                <w:rFonts w:hint="eastAsia" w:ascii="宋体" w:hAnsi="宋体" w:eastAsia="宋体" w:cs="宋体"/>
                <w:b w:val="0"/>
                <w:bCs w:val="0"/>
                <w:color w:val="auto"/>
                <w:sz w:val="24"/>
                <w:highlight w:val="none"/>
                <w:lang w:val="en-US" w:eastAsia="zh-CN"/>
              </w:rPr>
              <w:t>根据采购人需求，提供监制监造服务。</w:t>
            </w:r>
          </w:p>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lang w:val="en-US" w:eastAsia="zh-CN"/>
              </w:rPr>
              <w:t xml:space="preserve">投标人应提供的伴随服务 1)实施或监督所供货物的现场组装和/或试运行；2)提供货物组装和/或维修所需的工具；3)为所供货物提供详细的操作和维护手册；4)在双方商定的一定期限内对所供货物实施运或监督或维护或修理，但前提条件；是该服务并不能免除卖方在合同保证期内所承担的义务；5)在卖方厂家和/或在项目现场就所供货物的组装、试运行、运行、维护和/或修理对买方人员进行培训；6)随附资料：除列明装备名称型号外，必须附有详细的中文技术规格书和清晰的外观照片，提供全寿命周期的主要耗损件、易损件及更换总成的目录和年度价格清单，并承诺保证供应且价格合理；合同应明确维修期周转备品保障、上门服务响应时间、零配件供应周期、工时费等服务标准。注：伴随服务的费用包含在合同价中，需单独列出但不单独进行支付。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中标服务费</w:t>
            </w:r>
          </w:p>
        </w:tc>
        <w:tc>
          <w:tcPr>
            <w:tcW w:w="8169" w:type="dxa"/>
            <w:tcBorders>
              <w:left w:val="single" w:color="auto" w:sz="4" w:space="0"/>
            </w:tcBorders>
            <w:vAlign w:val="center"/>
          </w:tcPr>
          <w:p>
            <w:pPr>
              <w:spacing w:line="360" w:lineRule="exact"/>
              <w:jc w:val="both"/>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b w:val="0"/>
                <w:bCs w:val="0"/>
                <w:color w:val="auto"/>
                <w:sz w:val="24"/>
                <w:highlight w:val="none"/>
              </w:rPr>
              <w:t>收取标准：参照国家发展计划委员会计价格[2002]1980号、发改办价格[2003]857号文件标准，向中标人收取招标代理服务费。本项目按折扣比例0.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需要补充的其他内容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“*”条款</w:t>
            </w:r>
          </w:p>
        </w:tc>
        <w:tc>
          <w:tcPr>
            <w:tcW w:w="8169" w:type="dxa"/>
            <w:tcBorders>
              <w:left w:val="single" w:color="auto" w:sz="4" w:space="0"/>
            </w:tcBorders>
            <w:vAlign w:val="center"/>
          </w:tcPr>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在招标文件中，商务和技术的</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条款用“*”表示，这些</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条款的任何负偏离将</w:t>
            </w:r>
            <w:r>
              <w:rPr>
                <w:rFonts w:hint="eastAsia" w:ascii="宋体" w:hAnsi="宋体" w:eastAsia="宋体" w:cs="宋体"/>
                <w:b w:val="0"/>
                <w:bCs w:val="0"/>
                <w:color w:val="auto"/>
                <w:sz w:val="24"/>
                <w:highlight w:val="none"/>
                <w:lang w:val="en-US" w:eastAsia="zh-CN"/>
              </w:rPr>
              <w:t>作为无效标处理</w:t>
            </w:r>
            <w:r>
              <w:rPr>
                <w:rFonts w:hint="eastAsia" w:ascii="宋体" w:hAnsi="宋体" w:eastAsia="宋体" w:cs="宋体"/>
                <w:b w:val="0"/>
                <w:bCs w:val="0"/>
                <w:color w:val="auto"/>
                <w:sz w:val="24"/>
                <w:highlight w:val="none"/>
              </w:rPr>
              <w:t>。</w:t>
            </w:r>
          </w:p>
          <w:p>
            <w:pPr>
              <w:numPr>
                <w:ilvl w:val="0"/>
                <w:numId w:val="2"/>
              </w:numPr>
              <w:spacing w:line="360" w:lineRule="exact"/>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b w:val="0"/>
                <w:bCs w:val="0"/>
                <w:color w:val="auto"/>
                <w:sz w:val="24"/>
                <w:highlight w:val="none"/>
                <w:lang w:eastAsia="zh-CN"/>
              </w:rPr>
              <w:t>采购人</w:t>
            </w:r>
            <w:r>
              <w:rPr>
                <w:rFonts w:hint="eastAsia" w:ascii="宋体" w:hAnsi="宋体" w:eastAsia="宋体" w:cs="宋体"/>
                <w:b w:val="0"/>
                <w:bCs w:val="0"/>
                <w:color w:val="auto"/>
                <w:sz w:val="24"/>
                <w:highlight w:val="none"/>
              </w:rPr>
              <w:t>不对投标人的技术服务方案做出补偿。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cs="宋体"/>
                <w:color w:val="auto"/>
                <w:sz w:val="24"/>
                <w:highlight w:val="none"/>
              </w:rPr>
              <w:t>*</w:t>
            </w:r>
            <w:r>
              <w:rPr>
                <w:rFonts w:hint="eastAsia" w:ascii="宋体" w:hAnsi="宋体" w:cs="宋体"/>
                <w:b/>
                <w:bCs/>
                <w:color w:val="auto"/>
                <w:sz w:val="24"/>
                <w:highlight w:val="none"/>
              </w:rPr>
              <w:t>其他</w:t>
            </w:r>
            <w:r>
              <w:rPr>
                <w:rFonts w:hint="eastAsia" w:ascii="宋体" w:hAnsi="宋体" w:cs="宋体"/>
                <w:b/>
                <w:bCs/>
                <w:color w:val="auto"/>
                <w:sz w:val="24"/>
                <w:highlight w:val="none"/>
                <w:lang w:val="en-US" w:eastAsia="zh-CN"/>
              </w:rPr>
              <w:t>要求</w:t>
            </w:r>
          </w:p>
        </w:tc>
        <w:tc>
          <w:tcPr>
            <w:tcW w:w="8169" w:type="dxa"/>
            <w:tcBorders>
              <w:left w:val="single" w:color="auto" w:sz="4" w:space="0"/>
            </w:tcBorders>
            <w:vAlign w:val="center"/>
          </w:tcPr>
          <w:p>
            <w:pPr>
              <w:spacing w:line="360" w:lineRule="exact"/>
              <w:jc w:val="left"/>
              <w:rPr>
                <w:rFonts w:hint="eastAsia" w:ascii="宋体" w:hAnsi="宋体" w:cs="宋体"/>
                <w:b/>
                <w:bCs/>
                <w:color w:val="auto"/>
                <w:sz w:val="24"/>
                <w:highlight w:val="none"/>
              </w:rPr>
            </w:pPr>
            <w:r>
              <w:rPr>
                <w:rFonts w:hint="eastAsia" w:ascii="宋体" w:hAnsi="宋体" w:cs="宋体"/>
                <w:b/>
                <w:bCs/>
                <w:color w:val="auto"/>
                <w:sz w:val="24"/>
                <w:highlight w:val="none"/>
              </w:rPr>
              <w:t>特别注意：</w:t>
            </w:r>
          </w:p>
          <w:p>
            <w:pPr>
              <w:spacing w:line="360" w:lineRule="exact"/>
              <w:jc w:val="left"/>
              <w:rPr>
                <w:rFonts w:hint="eastAsia" w:ascii="宋体" w:hAnsi="宋体" w:cs="宋体"/>
                <w:b/>
                <w:bCs/>
                <w:color w:val="auto"/>
                <w:sz w:val="24"/>
                <w:highlight w:val="none"/>
              </w:rPr>
            </w:pPr>
            <w:r>
              <w:rPr>
                <w:rFonts w:hint="eastAsia" w:ascii="宋体" w:hAnsi="宋体" w:cs="宋体"/>
                <w:b/>
                <w:bCs/>
                <w:color w:val="auto"/>
                <w:sz w:val="24"/>
                <w:highlight w:val="none"/>
              </w:rPr>
              <w:t>1.在技术规格偏离表中，投标人应如实填写所投产品的具体参数值。</w:t>
            </w:r>
          </w:p>
          <w:p>
            <w:pPr>
              <w:spacing w:line="360" w:lineRule="exact"/>
              <w:jc w:val="left"/>
              <w:rPr>
                <w:rFonts w:hint="eastAsia" w:ascii="宋体" w:hAnsi="宋体" w:cs="宋体"/>
                <w:b/>
                <w:bCs/>
                <w:color w:val="auto"/>
                <w:sz w:val="24"/>
                <w:highlight w:val="none"/>
              </w:rPr>
            </w:pPr>
            <w:r>
              <w:rPr>
                <w:rFonts w:hint="eastAsia" w:ascii="宋体" w:hAnsi="宋体" w:cs="宋体"/>
                <w:b/>
                <w:bCs/>
                <w:color w:val="auto"/>
                <w:sz w:val="24"/>
                <w:highlight w:val="none"/>
              </w:rPr>
              <w:t>2.一般技术参数响应条款如有缺、漏项的，则该项视为负偏离；</w:t>
            </w:r>
          </w:p>
          <w:p>
            <w:pPr>
              <w:spacing w:line="360" w:lineRule="exact"/>
              <w:jc w:val="left"/>
              <w:rPr>
                <w:rFonts w:hint="eastAsia" w:ascii="宋体" w:hAnsi="宋体" w:cs="宋体"/>
                <w:b/>
                <w:bCs/>
                <w:color w:val="auto"/>
                <w:sz w:val="24"/>
                <w:highlight w:val="none"/>
              </w:rPr>
            </w:pPr>
            <w:r>
              <w:rPr>
                <w:rFonts w:hint="eastAsia" w:ascii="宋体" w:hAnsi="宋体" w:cs="宋体"/>
                <w:b/>
                <w:bCs/>
                <w:color w:val="auto"/>
                <w:sz w:val="24"/>
                <w:highlight w:val="none"/>
              </w:rPr>
              <w:t>3.技术参数中指标性数值完全复制招标文件要求的属于负偏离，文字性描述复制的不属于负偏离，技术参数响应指标与检测报告实际参数或标书内其他佐证材料不一致的，属于负偏离。</w:t>
            </w:r>
          </w:p>
          <w:p>
            <w:pPr>
              <w:spacing w:line="360" w:lineRule="exact"/>
              <w:jc w:val="left"/>
              <w:rPr>
                <w:rFonts w:hint="eastAsia" w:ascii="宋体" w:hAnsi="宋体" w:cs="宋体"/>
                <w:b/>
                <w:bCs/>
                <w:color w:val="auto"/>
                <w:sz w:val="24"/>
                <w:highlight w:val="none"/>
              </w:rPr>
            </w:pPr>
            <w:r>
              <w:rPr>
                <w:rFonts w:hint="eastAsia" w:ascii="宋体" w:hAnsi="宋体" w:cs="宋体"/>
                <w:b/>
                <w:bCs/>
                <w:color w:val="auto"/>
                <w:sz w:val="24"/>
                <w:highlight w:val="none"/>
              </w:rPr>
              <w:t>4.投标人须提供全部产品的</w:t>
            </w:r>
            <w:r>
              <w:rPr>
                <w:rFonts w:hint="eastAsia" w:ascii="宋体" w:hAnsi="宋体" w:cs="宋体"/>
                <w:b/>
                <w:bCs/>
                <w:color w:val="auto"/>
                <w:sz w:val="24"/>
                <w:highlight w:val="none"/>
                <w:lang w:val="en-US" w:eastAsia="zh-CN"/>
              </w:rPr>
              <w:t>外观</w:t>
            </w:r>
            <w:r>
              <w:rPr>
                <w:rFonts w:hint="eastAsia" w:ascii="宋体" w:hAnsi="宋体" w:cs="宋体"/>
                <w:b/>
                <w:bCs/>
                <w:color w:val="auto"/>
                <w:sz w:val="24"/>
                <w:highlight w:val="none"/>
              </w:rPr>
              <w:t>三视图</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lang w:val="en-US" w:eastAsia="zh-CN"/>
              </w:rPr>
              <w:t>三视图须为产品实物拍摄的彩色图片，不得使用设计图或效果图</w:t>
            </w:r>
            <w:r>
              <w:rPr>
                <w:rFonts w:hint="eastAsia" w:ascii="宋体" w:hAnsi="宋体" w:cs="宋体"/>
                <w:b/>
                <w:bCs/>
                <w:color w:val="auto"/>
                <w:sz w:val="24"/>
                <w:highlight w:val="none"/>
              </w:rPr>
              <w:t>。</w:t>
            </w:r>
          </w:p>
          <w:p>
            <w:pPr>
              <w:spacing w:line="360" w:lineRule="exact"/>
              <w:jc w:val="left"/>
              <w:rPr>
                <w:rFonts w:hint="eastAsia" w:ascii="宋体" w:hAnsi="宋体" w:eastAsia="宋体" w:cs="宋体"/>
                <w:color w:val="auto"/>
                <w:kern w:val="2"/>
                <w:sz w:val="21"/>
                <w:szCs w:val="24"/>
                <w:highlight w:val="none"/>
                <w:lang w:val="en-US" w:eastAsia="zh-CN" w:bidi="ar-SA"/>
              </w:rPr>
            </w:pPr>
            <w:r>
              <w:rPr>
                <w:rFonts w:hint="eastAsia" w:ascii="宋体" w:hAnsi="宋体" w:cs="宋体"/>
                <w:b/>
                <w:bCs/>
                <w:color w:val="auto"/>
                <w:sz w:val="24"/>
                <w:highlight w:val="none"/>
              </w:rPr>
              <w:t>5.本次招标不接受进口产品。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2"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33</w:t>
            </w:r>
          </w:p>
        </w:tc>
        <w:tc>
          <w:tcPr>
            <w:tcW w:w="1456" w:type="dxa"/>
            <w:tcBorders>
              <w:left w:val="single" w:color="auto" w:sz="4" w:space="0"/>
              <w:right w:val="single" w:color="auto" w:sz="4" w:space="0"/>
            </w:tcBorders>
            <w:vAlign w:val="center"/>
          </w:tcPr>
          <w:p>
            <w:pPr>
              <w:pStyle w:val="17"/>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color w:val="auto"/>
                <w:sz w:val="24"/>
                <w:highlight w:val="none"/>
              </w:rPr>
              <w:t>*</w:t>
            </w:r>
            <w:r>
              <w:rPr>
                <w:rFonts w:hint="eastAsia" w:ascii="宋体" w:hAnsi="宋体" w:eastAsia="宋体" w:cs="宋体"/>
                <w:color w:val="auto"/>
                <w:sz w:val="24"/>
                <w:szCs w:val="24"/>
                <w:highlight w:val="none"/>
              </w:rPr>
              <w:t>中小企业</w:t>
            </w:r>
          </w:p>
        </w:tc>
        <w:tc>
          <w:tcPr>
            <w:tcW w:w="8169" w:type="dxa"/>
            <w:tcBorders>
              <w:left w:val="single" w:color="auto" w:sz="4" w:space="0"/>
            </w:tcBorders>
            <w:vAlign w:val="center"/>
          </w:tcPr>
          <w:p>
            <w:pP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本项目落实《政府采购促进中小企业发展管理办法》，专门面向中小企业预留情况见招标公告2.2条款</w:t>
            </w:r>
          </w:p>
          <w:p>
            <w:pP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1.如专门面向中小企业采购，标书内提供中小企业声明函。</w:t>
            </w:r>
          </w:p>
          <w:p>
            <w:pP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2.如非专门面向中小企业采购，根据财库【2022】19号文件规定，对小型和微型企业的产品给予10%的价格扣除，并按照扣除后的价格参加评审。</w:t>
            </w:r>
          </w:p>
          <w:p>
            <w:pP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3.本次采购项目采购标的对应的中小企业划分标准所属行业为</w:t>
            </w:r>
            <w:r>
              <w:rPr>
                <w:rFonts w:hint="eastAsia" w:ascii="宋体" w:hAnsi="宋体" w:eastAsia="宋体" w:cs="宋体"/>
                <w:b/>
                <w:bCs/>
                <w:color w:val="auto"/>
                <w:sz w:val="24"/>
                <w:highlight w:val="none"/>
              </w:rPr>
              <w:t xml:space="preserve"> 工业</w:t>
            </w:r>
            <w:r>
              <w:rPr>
                <w:rFonts w:hint="eastAsia" w:ascii="宋体" w:hAnsi="宋体" w:eastAsia="宋体" w:cs="宋体"/>
                <w:b w:val="0"/>
                <w:bCs w:val="0"/>
                <w:color w:val="auto"/>
                <w:sz w:val="24"/>
                <w:highlight w:val="none"/>
              </w:rPr>
              <w:t xml:space="preserve"> （划分标准见附件：中小企业划型标准）。</w:t>
            </w:r>
          </w:p>
          <w:p>
            <w:pP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val="0"/>
                <w:bCs w:val="0"/>
                <w:color w:val="auto"/>
                <w:sz w:val="24"/>
                <w:highlight w:val="none"/>
              </w:rPr>
              <w:t>注：专门面向中小微企业的标段，投标人不再执行价格评审优惠的扶持政策。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8"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w:t>
            </w:r>
          </w:p>
        </w:tc>
        <w:tc>
          <w:tcPr>
            <w:tcW w:w="1456" w:type="dxa"/>
            <w:tcBorders>
              <w:left w:val="single" w:color="auto" w:sz="4" w:space="0"/>
              <w:right w:val="single" w:color="auto" w:sz="4" w:space="0"/>
            </w:tcBorders>
            <w:vAlign w:val="center"/>
          </w:tcPr>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lang w:val="en-US" w:eastAsia="zh-CN"/>
              </w:rPr>
              <w:t>信用信息查询渠道及截止时点</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1、查询渠道：“信用中国”网站（www.creditchina.gov.cn）及中国政府采购网（www.ccgp.gov.cn）；</w:t>
            </w:r>
          </w:p>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lang w:val="en-US" w:eastAsia="zh-CN"/>
              </w:rPr>
              <w:t>2、截止时点：2024年</w:t>
            </w:r>
            <w:r>
              <w:rPr>
                <w:rFonts w:hint="eastAsia" w:ascii="宋体" w:hAnsi="宋体" w:cs="宋体"/>
                <w:b w:val="0"/>
                <w:bCs w:val="0"/>
                <w:color w:val="auto"/>
                <w:sz w:val="24"/>
                <w:highlight w:val="none"/>
                <w:lang w:val="en-US" w:eastAsia="zh-CN"/>
              </w:rPr>
              <w:t>05</w:t>
            </w:r>
            <w:r>
              <w:rPr>
                <w:rFonts w:hint="eastAsia" w:ascii="宋体" w:hAnsi="宋体" w:eastAsia="宋体" w:cs="宋体"/>
                <w:b w:val="0"/>
                <w:bCs w:val="0"/>
                <w:color w:val="auto"/>
                <w:sz w:val="24"/>
                <w:highlight w:val="none"/>
                <w:lang w:val="en-US" w:eastAsia="zh-CN"/>
              </w:rPr>
              <w:t>月</w:t>
            </w:r>
            <w:r>
              <w:rPr>
                <w:rFonts w:hint="eastAsia" w:ascii="宋体" w:hAnsi="宋体" w:cs="宋体"/>
                <w:b w:val="0"/>
                <w:bCs w:val="0"/>
                <w:color w:val="auto"/>
                <w:sz w:val="24"/>
                <w:highlight w:val="none"/>
                <w:lang w:val="en-US" w:eastAsia="zh-CN"/>
              </w:rPr>
              <w:t>07</w:t>
            </w:r>
            <w:r>
              <w:rPr>
                <w:rFonts w:hint="eastAsia" w:ascii="宋体" w:hAnsi="宋体" w:eastAsia="宋体" w:cs="宋体"/>
                <w:b w:val="0"/>
                <w:bCs w:val="0"/>
                <w:color w:val="auto"/>
                <w:sz w:val="24"/>
                <w:highlight w:val="none"/>
                <w:lang w:val="en-US" w:eastAsia="zh-CN"/>
              </w:rPr>
              <w:t>日16时00分（由采购人或者采购代理机构查询）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7" w:hRule="atLeast"/>
          <w:jc w:val="center"/>
        </w:trPr>
        <w:tc>
          <w:tcPr>
            <w:tcW w:w="10329" w:type="dxa"/>
            <w:gridSpan w:val="3"/>
            <w:vAlign w:val="center"/>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bCs/>
                <w:color w:val="auto"/>
                <w:sz w:val="24"/>
                <w:highlight w:val="none"/>
                <w:lang w:val="en-US" w:eastAsia="zh-CN"/>
              </w:rPr>
              <w:t>招标公告内容不一致之处，以最新发布的招标公告内容为准，招标公告与招标文件内容不一致之处，以招标文件内容为准。</w:t>
            </w:r>
          </w:p>
        </w:tc>
      </w:tr>
    </w:tbl>
    <w:p>
      <w:pP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br w:type="page"/>
      </w:r>
    </w:p>
    <w:p>
      <w:pPr>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eastAsia="zh-CN"/>
        </w:rPr>
        <w:t>投标人须知</w:t>
      </w:r>
    </w:p>
    <w:p>
      <w:pPr>
        <w:pStyle w:val="4"/>
        <w:spacing w:line="360" w:lineRule="auto"/>
        <w:jc w:val="center"/>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一、总则</w:t>
      </w:r>
    </w:p>
    <w:p>
      <w:pPr>
        <w:spacing w:line="360" w:lineRule="auto"/>
        <w:ind w:left="833" w:leftChars="228" w:hanging="354" w:hangingChars="147"/>
        <w:outlineLvl w:val="0"/>
        <w:rPr>
          <w:rFonts w:hint="eastAsia" w:ascii="宋体" w:hAnsi="宋体" w:eastAsia="宋体" w:cs="宋体"/>
          <w:b/>
          <w:color w:val="auto"/>
          <w:sz w:val="24"/>
          <w:highlight w:val="none"/>
          <w:lang w:eastAsia="zh-CN"/>
        </w:rPr>
      </w:pPr>
      <w:bookmarkStart w:id="38" w:name="_Toc31651"/>
      <w:r>
        <w:rPr>
          <w:rFonts w:hint="eastAsia" w:ascii="宋体" w:hAnsi="宋体" w:eastAsia="宋体" w:cs="宋体"/>
          <w:b/>
          <w:color w:val="auto"/>
          <w:sz w:val="24"/>
          <w:highlight w:val="none"/>
        </w:rPr>
        <w:t>1、</w:t>
      </w:r>
      <w:bookmarkEnd w:id="38"/>
      <w:r>
        <w:rPr>
          <w:rFonts w:hint="eastAsia" w:ascii="宋体" w:hAnsi="宋体" w:cs="宋体"/>
          <w:b/>
          <w:color w:val="auto"/>
          <w:sz w:val="24"/>
          <w:highlight w:val="none"/>
        </w:rPr>
        <w:t>资金来源、出资比例及落实情况：财政资金，100%，已落实。</w:t>
      </w:r>
    </w:p>
    <w:p>
      <w:pPr>
        <w:spacing w:line="360" w:lineRule="auto"/>
        <w:ind w:firstLine="482" w:firstLineChars="200"/>
        <w:outlineLvl w:val="0"/>
        <w:rPr>
          <w:rFonts w:hint="eastAsia" w:ascii="宋体" w:hAnsi="宋体" w:eastAsia="宋体" w:cs="宋体"/>
          <w:b/>
          <w:color w:val="auto"/>
          <w:sz w:val="24"/>
          <w:highlight w:val="none"/>
        </w:rPr>
      </w:pPr>
      <w:bookmarkStart w:id="39" w:name="_Toc2965"/>
      <w:r>
        <w:rPr>
          <w:rFonts w:hint="eastAsia" w:ascii="宋体" w:hAnsi="宋体" w:eastAsia="宋体" w:cs="宋体"/>
          <w:b/>
          <w:color w:val="auto"/>
          <w:sz w:val="24"/>
          <w:highlight w:val="none"/>
        </w:rPr>
        <w:t>2、采购人、采购代理机构、投标人</w:t>
      </w:r>
      <w:bookmarkEnd w:id="39"/>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 “采购人”是指：项目采购单位，合同的</w:t>
      </w:r>
      <w:r>
        <w:rPr>
          <w:rFonts w:hint="eastAsia" w:ascii="宋体" w:hAnsi="宋体" w:eastAsia="宋体" w:cs="宋体"/>
          <w:color w:val="auto"/>
          <w:sz w:val="24"/>
          <w:highlight w:val="none"/>
          <w:lang w:val="en-US" w:eastAsia="zh-CN"/>
        </w:rPr>
        <w:t>甲</w:t>
      </w:r>
      <w:r>
        <w:rPr>
          <w:rFonts w:hint="eastAsia" w:ascii="宋体" w:hAnsi="宋体" w:eastAsia="宋体" w:cs="宋体"/>
          <w:color w:val="auto"/>
          <w:sz w:val="24"/>
          <w:highlight w:val="none"/>
        </w:rPr>
        <w:t>方。</w:t>
      </w:r>
    </w:p>
    <w:p>
      <w:pPr>
        <w:shd w:val="clea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 “采购代理机构”是指：</w:t>
      </w:r>
      <w:r>
        <w:rPr>
          <w:rFonts w:hint="eastAsia" w:ascii="宋体" w:hAnsi="宋体" w:eastAsia="宋体" w:cs="宋体"/>
          <w:color w:val="auto"/>
          <w:sz w:val="24"/>
          <w:highlight w:val="none"/>
          <w:lang w:eastAsia="zh-CN"/>
        </w:rPr>
        <w:t>中峪国际项目管理有限公司</w:t>
      </w:r>
      <w:r>
        <w:rPr>
          <w:rFonts w:hint="eastAsia" w:ascii="宋体" w:hAnsi="宋体" w:eastAsia="宋体" w:cs="宋体"/>
          <w:color w:val="auto"/>
          <w:sz w:val="24"/>
          <w:highlight w:val="none"/>
        </w:rPr>
        <w:t>。</w:t>
      </w:r>
    </w:p>
    <w:p>
      <w:pPr>
        <w:shd w:val="clear"/>
        <w:spacing w:line="360" w:lineRule="auto"/>
        <w:ind w:firstLine="480" w:firstLineChars="200"/>
        <w:outlineLvl w:val="0"/>
        <w:rPr>
          <w:rFonts w:hint="eastAsia" w:ascii="宋体" w:hAnsi="宋体" w:eastAsia="宋体" w:cs="宋体"/>
          <w:color w:val="auto"/>
          <w:sz w:val="24"/>
          <w:highlight w:val="none"/>
        </w:rPr>
      </w:pPr>
      <w:bookmarkStart w:id="40" w:name="_Toc19469"/>
      <w:r>
        <w:rPr>
          <w:rFonts w:hint="eastAsia" w:ascii="宋体" w:hAnsi="宋体" w:eastAsia="宋体" w:cs="宋体"/>
          <w:color w:val="auto"/>
          <w:sz w:val="24"/>
          <w:highlight w:val="none"/>
        </w:rPr>
        <w:t>2.3 “投标人”是指响应招标、参加投标竞争的法人、其他组织或者自然人。</w:t>
      </w:r>
      <w:bookmarkEnd w:id="40"/>
    </w:p>
    <w:p>
      <w:pPr>
        <w:shd w:val="clear"/>
        <w:spacing w:line="360" w:lineRule="auto"/>
        <w:ind w:firstLine="482" w:firstLineChars="200"/>
        <w:outlineLvl w:val="0"/>
        <w:rPr>
          <w:rFonts w:hint="eastAsia" w:ascii="宋体" w:hAnsi="宋体" w:eastAsia="宋体" w:cs="宋体"/>
          <w:b/>
          <w:color w:val="auto"/>
          <w:sz w:val="24"/>
          <w:highlight w:val="none"/>
        </w:rPr>
      </w:pPr>
      <w:bookmarkStart w:id="41" w:name="_Toc30444"/>
      <w:r>
        <w:rPr>
          <w:rFonts w:hint="eastAsia" w:ascii="宋体" w:hAnsi="宋体" w:eastAsia="宋体" w:cs="宋体"/>
          <w:b/>
          <w:color w:val="auto"/>
          <w:sz w:val="24"/>
          <w:highlight w:val="none"/>
        </w:rPr>
        <w:t>3、合格投标人</w:t>
      </w:r>
      <w:bookmarkEnd w:id="41"/>
    </w:p>
    <w:p>
      <w:pPr>
        <w:shd w:val="clear" w:color="auto"/>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3.1应符合</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中投标人资格要求，</w:t>
      </w:r>
      <w:r>
        <w:rPr>
          <w:rFonts w:hint="eastAsia" w:ascii="宋体" w:hAnsi="宋体" w:eastAsia="宋体" w:cs="宋体"/>
          <w:color w:val="auto"/>
          <w:sz w:val="24"/>
          <w:highlight w:val="none"/>
          <w:lang w:val="en-US" w:eastAsia="zh-CN"/>
        </w:rPr>
        <w:t>并</w:t>
      </w:r>
      <w:r>
        <w:rPr>
          <w:rFonts w:hint="eastAsia" w:ascii="宋体" w:hAnsi="宋体" w:eastAsia="宋体" w:cs="宋体"/>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color w:val="auto"/>
          <w:sz w:val="24"/>
          <w:highlight w:val="none"/>
        </w:rPr>
        <w:t>复印件装订到投标文件中，证明其资格满足招标资格要求：</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 ）营业执照副本；</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 ）</w:t>
      </w:r>
      <w:r>
        <w:rPr>
          <w:rFonts w:hint="eastAsia" w:ascii="宋体" w:hAnsi="宋体" w:eastAsia="宋体" w:cs="宋体"/>
          <w:b w:val="0"/>
          <w:bCs w:val="0"/>
          <w:color w:val="auto"/>
          <w:sz w:val="24"/>
          <w:highlight w:val="none"/>
        </w:rPr>
        <w:t>《法人身份证明书》（附法定代表人身份证）或法人授权委托书（附法定代表人和授权代表身份证）</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 ）具有履行合同所必需的设备和专业技术能力的证明材料（可以提供类似业绩合同或者可以提供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 ）参加政府采购活动前三年内在经营活动中没有重大违法记录的书面声明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 ）</w:t>
      </w:r>
      <w:r>
        <w:rPr>
          <w:rFonts w:hint="eastAsia" w:ascii="宋体" w:hAnsi="宋体" w:eastAsia="宋体" w:cs="宋体"/>
          <w:color w:val="auto"/>
          <w:sz w:val="24"/>
          <w:highlight w:val="none"/>
          <w:lang w:eastAsia="zh-CN"/>
        </w:rPr>
        <w:t>投标人提供近三年（20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提供近一年（2023年02月以后）任意两个月的依法缴纳税收和社会保障资金的相关材料</w:t>
      </w:r>
      <w:r>
        <w:rPr>
          <w:rFonts w:hint="eastAsia" w:ascii="宋体" w:hAnsi="宋体" w:eastAsia="宋体" w:cs="宋体"/>
          <w:color w:val="auto"/>
          <w:sz w:val="24"/>
          <w:highlight w:val="none"/>
        </w:rPr>
        <w:t>(依法免税的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，应提供相应文件证明其依法免税）；</w:t>
      </w:r>
    </w:p>
    <w:p>
      <w:pPr>
        <w:shd w:val="clear" w:color="auto"/>
        <w:spacing w:line="360" w:lineRule="auto"/>
        <w:ind w:firstLine="480"/>
        <w:jc w:val="left"/>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6 ）</w:t>
      </w:r>
      <w:r>
        <w:rPr>
          <w:rFonts w:hint="eastAsia" w:ascii="宋体" w:hAnsi="宋体" w:eastAsia="宋体" w:cs="宋体"/>
          <w:bCs/>
          <w:color w:val="auto"/>
          <w:sz w:val="24"/>
          <w:highlight w:val="none"/>
        </w:rPr>
        <w:t>投标人应当通过“信用中国”网站（www.creditchina.gov.cn）、中国政府采购网（www.ccgp.gov.cn）等渠道查询相关主体信用记录</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未被</w:t>
      </w:r>
      <w:r>
        <w:rPr>
          <w:rFonts w:hint="eastAsia" w:ascii="宋体" w:hAnsi="宋体" w:eastAsia="宋体" w:cs="宋体"/>
          <w:bCs/>
          <w:color w:val="auto"/>
          <w:sz w:val="24"/>
          <w:highlight w:val="none"/>
          <w:lang w:eastAsia="zh-CN"/>
        </w:rPr>
        <w:t>列入失信被执行人、重大税收违法失信主体、政府采购严重违法失信行为记录名单</w:t>
      </w:r>
      <w:r>
        <w:rPr>
          <w:rFonts w:hint="eastAsia" w:ascii="宋体" w:hAnsi="宋体" w:eastAsia="宋体" w:cs="宋体"/>
          <w:color w:val="auto"/>
          <w:sz w:val="24"/>
          <w:highlight w:val="none"/>
          <w:lang w:val="en-US" w:eastAsia="zh-CN"/>
        </w:rPr>
        <w:t>。</w:t>
      </w:r>
    </w:p>
    <w:p>
      <w:pPr>
        <w:shd w:val="clear" w:color="auto"/>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bCs/>
          <w:color w:val="auto"/>
          <w:sz w:val="24"/>
          <w:highlight w:val="none"/>
        </w:rPr>
        <w:t>采购标的属于银行、保险、石油石化、电力、电信等行业的，允许该行业法人的分支机构参加投标（报价），提供分支机构的相关证件。</w:t>
      </w:r>
    </w:p>
    <w:p>
      <w:pPr>
        <w:shd w:val="clear" w:color="auto"/>
        <w:spacing w:line="360" w:lineRule="auto"/>
        <w:ind w:firstLine="480" w:firstLineChars="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4、投标费用</w:t>
      </w:r>
    </w:p>
    <w:p>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投标人应承担所有与编写和提交投标文件有关的费用，无论投标的结果如何，采购人和采购代理机构在任何情况下均无义务和责任承担这些费用。</w:t>
      </w:r>
    </w:p>
    <w:p>
      <w:pPr>
        <w:shd w:val="clea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二、招标文件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5、招标文件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5.1 招标文件的构成</w:t>
      </w:r>
    </w:p>
    <w:p>
      <w:pPr>
        <w:pStyle w:val="7"/>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第一章</w:t>
      </w:r>
      <w:r>
        <w:rPr>
          <w:rFonts w:hint="eastAsia" w:ascii="宋体" w:hAnsi="宋体" w:eastAsia="宋体" w:cs="宋体"/>
          <w:color w:val="auto"/>
          <w:sz w:val="24"/>
          <w:highlight w:val="none"/>
          <w:lang w:eastAsia="zh-CN"/>
        </w:rPr>
        <w:t>招标公告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第二章投标人须知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第三章评标办法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第四章合同条款(参考格式)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第五章技术需求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第六章投标文件构成及格式</w:t>
      </w:r>
    </w:p>
    <w:p>
      <w:pPr>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5.2投标人应认真阅读招标文件中所有的事项、格式、条款和规范等要求。如果投标人没有按照招标文件要求提交全部资料或投标文件没有对招标文件在各方面都做出实质性响应，是投标人的风险。</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6、招标文件的澄清和修改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6.1任何要求对招标文件进行澄清或对招标文件质疑的潜在投标人，均应在获取招标文件或者招标文件公告期限届满之日起7个工作日内以书面形式（须加盖公章）通知采购代理机构</w:t>
      </w:r>
      <w:r>
        <w:rPr>
          <w:rFonts w:hint="eastAsia" w:ascii="宋体" w:hAnsi="宋体" w:eastAsia="宋体" w:cs="宋体"/>
          <w:b/>
          <w:bCs/>
          <w:color w:val="auto"/>
          <w:sz w:val="24"/>
          <w:highlight w:val="none"/>
        </w:rPr>
        <w:t>（如投标人所参与项目须要在网上提交质疑程序，</w:t>
      </w:r>
      <w:r>
        <w:rPr>
          <w:rFonts w:hint="eastAsia" w:ascii="宋体" w:hAnsi="宋体" w:cs="宋体"/>
          <w:b/>
          <w:bCs/>
          <w:color w:val="auto"/>
          <w:sz w:val="24"/>
          <w:highlight w:val="none"/>
          <w:lang w:eastAsia="zh-CN"/>
        </w:rPr>
        <w:t>投标人</w:t>
      </w:r>
      <w:r>
        <w:rPr>
          <w:rFonts w:hint="eastAsia" w:ascii="宋体" w:hAnsi="宋体" w:eastAsia="宋体" w:cs="宋体"/>
          <w:b/>
          <w:bCs/>
          <w:color w:val="auto"/>
          <w:sz w:val="24"/>
          <w:highlight w:val="none"/>
        </w:rPr>
        <w:t>须将纸质版质疑材料与网上提交质疑程序在同一工作日内进行，如出现日期不一致时，以两者中最后日期为准）</w:t>
      </w:r>
      <w:r>
        <w:rPr>
          <w:rFonts w:hint="eastAsia" w:ascii="宋体" w:hAnsi="宋体" w:eastAsia="宋体" w:cs="宋体"/>
          <w:color w:val="auto"/>
          <w:sz w:val="24"/>
          <w:highlight w:val="none"/>
        </w:rPr>
        <w:t>，超过这个规定期限提出的澄清要求或质疑将不予受理。采购代理机构对收到的澄清要求将视所提问题的具体情况以书面形式予以答复，同时传真给每个购买招标文件的潜在投标人或由潜在投标人直接到采购代理机构领取。潜在投标人应在1日内确认已收到该答复，未回复的潜在投标人视为已经收到该答复。答复中包括所提的问题，但不包括问题的来源。</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6.2采购人或者采购代理机构可以对已发出的招标文件、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进行必要的澄清或者修改，但不得改变采购标的和资格条件。澄清或者修改将在原公告发布媒体上发布澄清公告。澄清或者修改的内容为招标文件、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的组成部分。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澄清或者修改的内容可能影响投标文件编制的，采购人或者采购代理机构将在投标截止时间15日前，以书面形式通知所有获取招标文件的潜在投标人；不足15日的，采购人或者采购代理机构将顺延提交投标文件的截止时间。在这种情况下，采购人、采购代理机构和投标人受投标截止时间制约的所有权利和义务均相应顺延至新的投标截止时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6.3本项目不召开答疑会。</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三、投标文件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7、投标文件的编制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7.1投标语言：投标人的投标文件以及投标人与招标方就有关投标的所有来往函电均应使用中文。(注：投标人所投产品及设备的相关资料非中文文本无效)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7.2计量单位：中华人民共和国法定计量单位。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7.3投标文件应编排有序，并编制文件目录，准确标明文件内容所在位置。请投标人按以下顺序编排投标文件并加盖公章：</w:t>
      </w:r>
    </w:p>
    <w:p>
      <w:pPr>
        <w:numPr>
          <w:ilvl w:val="0"/>
          <w:numId w:val="0"/>
        </w:numPr>
        <w:spacing w:line="360" w:lineRule="auto"/>
        <w:ind w:left="900" w:leftChars="0" w:hanging="360" w:firstLineChars="0"/>
        <w:rPr>
          <w:rFonts w:ascii="宋体" w:hAnsi="宋体" w:cs="宋体"/>
          <w:color w:val="auto"/>
          <w:sz w:val="24"/>
          <w:highlight w:val="none"/>
        </w:rPr>
      </w:pPr>
      <w:bookmarkStart w:id="42" w:name="_Toc14826"/>
      <w:r>
        <w:rPr>
          <w:rFonts w:hint="eastAsia" w:ascii="仿宋_GB2312" w:hAnsi="Times New Roman" w:eastAsia="仿宋_GB2312" w:cs="Times New Roman"/>
          <w:color w:val="auto"/>
          <w:kern w:val="2"/>
          <w:sz w:val="24"/>
          <w:szCs w:val="24"/>
          <w:highlight w:val="none"/>
          <w:lang w:val="en-US" w:eastAsia="zh-CN" w:bidi="ar-SA"/>
        </w:rPr>
        <w:t>1、</w:t>
      </w:r>
      <w:r>
        <w:rPr>
          <w:rFonts w:hint="eastAsia" w:ascii="宋体" w:hAnsi="宋体" w:cs="宋体"/>
          <w:color w:val="auto"/>
          <w:sz w:val="24"/>
          <w:highlight w:val="none"/>
        </w:rPr>
        <w:t>投标文件目录及页码</w:t>
      </w:r>
    </w:p>
    <w:p>
      <w:pPr>
        <w:numPr>
          <w:ilvl w:val="0"/>
          <w:numId w:val="0"/>
        </w:numPr>
        <w:spacing w:line="360" w:lineRule="auto"/>
        <w:ind w:left="900" w:leftChars="0" w:hanging="360" w:firstLineChars="0"/>
        <w:rPr>
          <w:rFonts w:ascii="宋体" w:hAnsi="宋体" w:cs="宋体"/>
          <w:bCs/>
          <w:color w:val="auto"/>
          <w:sz w:val="24"/>
          <w:highlight w:val="none"/>
        </w:rPr>
      </w:pPr>
      <w:r>
        <w:rPr>
          <w:rFonts w:hint="eastAsia" w:ascii="仿宋_GB2312" w:hAnsi="Times New Roman" w:eastAsia="仿宋_GB2312" w:cs="Times New Roman"/>
          <w:bCs/>
          <w:color w:val="auto"/>
          <w:kern w:val="2"/>
          <w:sz w:val="24"/>
          <w:szCs w:val="24"/>
          <w:highlight w:val="none"/>
          <w:lang w:val="en-US" w:eastAsia="zh-CN" w:bidi="ar-SA"/>
        </w:rPr>
        <w:t>2、</w:t>
      </w:r>
      <w:r>
        <w:rPr>
          <w:rFonts w:hint="eastAsia" w:ascii="宋体" w:hAnsi="宋体" w:cs="宋体"/>
          <w:bCs/>
          <w:color w:val="auto"/>
          <w:sz w:val="24"/>
          <w:highlight w:val="none"/>
        </w:rPr>
        <w:t>开标一览表</w:t>
      </w:r>
    </w:p>
    <w:p>
      <w:pPr>
        <w:numPr>
          <w:ilvl w:val="0"/>
          <w:numId w:val="0"/>
        </w:numPr>
        <w:spacing w:line="360" w:lineRule="auto"/>
        <w:ind w:left="900" w:leftChars="0" w:hanging="360" w:firstLineChars="0"/>
        <w:rPr>
          <w:rFonts w:ascii="宋体" w:hAnsi="宋体" w:cs="宋体"/>
          <w:bCs/>
          <w:color w:val="auto"/>
          <w:sz w:val="24"/>
          <w:highlight w:val="none"/>
        </w:rPr>
      </w:pPr>
      <w:r>
        <w:rPr>
          <w:rFonts w:hint="eastAsia" w:ascii="仿宋_GB2312" w:hAnsi="Times New Roman" w:eastAsia="仿宋_GB2312" w:cs="Times New Roman"/>
          <w:bCs/>
          <w:color w:val="auto"/>
          <w:kern w:val="2"/>
          <w:sz w:val="24"/>
          <w:szCs w:val="24"/>
          <w:highlight w:val="none"/>
          <w:lang w:val="en-US" w:eastAsia="zh-CN" w:bidi="ar-SA"/>
        </w:rPr>
        <w:t>3、</w:t>
      </w:r>
      <w:r>
        <w:rPr>
          <w:rFonts w:hint="eastAsia" w:ascii="宋体" w:hAnsi="宋体" w:cs="宋体"/>
          <w:bCs/>
          <w:color w:val="auto"/>
          <w:sz w:val="24"/>
          <w:highlight w:val="none"/>
        </w:rPr>
        <w:t>投标函</w:t>
      </w:r>
    </w:p>
    <w:p>
      <w:pPr>
        <w:numPr>
          <w:ilvl w:val="0"/>
          <w:numId w:val="0"/>
        </w:numPr>
        <w:spacing w:line="360" w:lineRule="auto"/>
        <w:ind w:left="900" w:leftChars="0" w:hanging="360" w:firstLineChars="0"/>
        <w:rPr>
          <w:rFonts w:hint="eastAsia" w:ascii="宋体" w:hAnsi="宋体" w:cs="宋体"/>
          <w:bCs/>
          <w:color w:val="auto"/>
          <w:sz w:val="24"/>
          <w:highlight w:val="none"/>
        </w:rPr>
      </w:pPr>
      <w:r>
        <w:rPr>
          <w:rFonts w:hint="eastAsia" w:ascii="仿宋_GB2312" w:hAnsi="Times New Roman" w:eastAsia="仿宋_GB2312" w:cs="Times New Roman"/>
          <w:bCs/>
          <w:color w:val="auto"/>
          <w:kern w:val="2"/>
          <w:sz w:val="24"/>
          <w:szCs w:val="24"/>
          <w:highlight w:val="none"/>
          <w:lang w:val="en-US" w:eastAsia="zh-CN" w:bidi="ar-SA"/>
        </w:rPr>
        <w:t>4、</w:t>
      </w:r>
      <w:r>
        <w:rPr>
          <w:rFonts w:hint="eastAsia" w:ascii="宋体" w:hAnsi="宋体" w:cs="宋体"/>
          <w:bCs/>
          <w:color w:val="auto"/>
          <w:sz w:val="24"/>
          <w:highlight w:val="none"/>
        </w:rPr>
        <w:t>投标报价一览表</w:t>
      </w:r>
    </w:p>
    <w:p>
      <w:pPr>
        <w:numPr>
          <w:ilvl w:val="0"/>
          <w:numId w:val="0"/>
        </w:numPr>
        <w:spacing w:line="360" w:lineRule="auto"/>
        <w:ind w:left="900" w:leftChars="0" w:hanging="360" w:firstLineChars="0"/>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5、投标货物及技术规格偏离表</w:t>
      </w:r>
    </w:p>
    <w:p>
      <w:pPr>
        <w:numPr>
          <w:ilvl w:val="0"/>
          <w:numId w:val="0"/>
        </w:numPr>
        <w:spacing w:line="360" w:lineRule="auto"/>
        <w:ind w:left="900" w:leftChars="0" w:hanging="360" w:firstLineChars="0"/>
        <w:rPr>
          <w:rFonts w:hint="eastAsia" w:ascii="宋体" w:hAnsi="宋体" w:eastAsia="宋体" w:cs="宋体"/>
          <w:bCs/>
          <w:color w:val="auto"/>
          <w:sz w:val="24"/>
          <w:highlight w:val="none"/>
        </w:rPr>
      </w:pPr>
      <w:r>
        <w:rPr>
          <w:rFonts w:hint="eastAsia" w:ascii="宋体" w:hAnsi="宋体" w:cs="宋体"/>
          <w:bCs/>
          <w:color w:val="auto"/>
          <w:sz w:val="24"/>
          <w:highlight w:val="none"/>
          <w:lang w:val="en-US" w:eastAsia="zh-CN"/>
        </w:rPr>
        <w:t>6、</w:t>
      </w:r>
      <w:r>
        <w:rPr>
          <w:rFonts w:hint="eastAsia" w:ascii="宋体" w:hAnsi="宋体" w:cs="宋体"/>
          <w:bCs/>
          <w:color w:val="auto"/>
          <w:sz w:val="24"/>
          <w:highlight w:val="none"/>
        </w:rPr>
        <w:t>商务条款偏离表</w:t>
      </w:r>
    </w:p>
    <w:p>
      <w:pPr>
        <w:numPr>
          <w:ilvl w:val="0"/>
          <w:numId w:val="0"/>
        </w:numPr>
        <w:spacing w:line="360" w:lineRule="auto"/>
        <w:ind w:left="900" w:leftChars="0" w:hanging="360" w:firstLineChars="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7、</w:t>
      </w:r>
      <w:r>
        <w:rPr>
          <w:rFonts w:hint="eastAsia" w:ascii="宋体" w:hAnsi="宋体" w:eastAsia="宋体" w:cs="宋体"/>
          <w:bCs/>
          <w:color w:val="auto"/>
          <w:sz w:val="24"/>
          <w:highlight w:val="none"/>
        </w:rPr>
        <w:t>售后服务承诺书</w:t>
      </w:r>
    </w:p>
    <w:p>
      <w:pPr>
        <w:numPr>
          <w:ilvl w:val="0"/>
          <w:numId w:val="0"/>
        </w:numPr>
        <w:spacing w:line="360" w:lineRule="auto"/>
        <w:ind w:left="900" w:leftChars="0" w:hanging="360" w:firstLine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8、法</w:t>
      </w:r>
      <w:r>
        <w:rPr>
          <w:rFonts w:hint="eastAsia" w:ascii="宋体" w:hAnsi="宋体" w:eastAsia="宋体" w:cs="宋体"/>
          <w:bCs/>
          <w:color w:val="auto"/>
          <w:sz w:val="24"/>
          <w:highlight w:val="none"/>
        </w:rPr>
        <w:t>人身份证明</w:t>
      </w:r>
    </w:p>
    <w:p>
      <w:pPr>
        <w:numPr>
          <w:ilvl w:val="0"/>
          <w:numId w:val="0"/>
        </w:numPr>
        <w:spacing w:line="360" w:lineRule="auto"/>
        <w:ind w:left="900" w:leftChars="0" w:hanging="360" w:firstLine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9、法定代表人</w:t>
      </w:r>
      <w:r>
        <w:rPr>
          <w:rFonts w:hint="eastAsia" w:ascii="宋体" w:hAnsi="宋体" w:eastAsia="宋体" w:cs="宋体"/>
          <w:bCs/>
          <w:color w:val="auto"/>
          <w:sz w:val="24"/>
          <w:highlight w:val="none"/>
        </w:rPr>
        <w:t>授权书</w:t>
      </w:r>
    </w:p>
    <w:p>
      <w:pPr>
        <w:numPr>
          <w:ilvl w:val="0"/>
          <w:numId w:val="0"/>
        </w:numPr>
        <w:spacing w:line="360" w:lineRule="auto"/>
        <w:ind w:left="900" w:leftChars="0" w:hanging="360" w:firstLineChars="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10、</w:t>
      </w:r>
      <w:r>
        <w:rPr>
          <w:rFonts w:hint="eastAsia" w:ascii="宋体" w:hAnsi="宋体" w:cs="宋体"/>
          <w:bCs/>
          <w:color w:val="auto"/>
          <w:sz w:val="24"/>
          <w:highlight w:val="none"/>
          <w:lang w:val="en-US" w:eastAsia="zh-CN"/>
        </w:rPr>
        <w:t>中小企业声明函等</w:t>
      </w:r>
    </w:p>
    <w:p>
      <w:pPr>
        <w:numPr>
          <w:ilvl w:val="0"/>
          <w:numId w:val="0"/>
        </w:numPr>
        <w:spacing w:line="360" w:lineRule="auto"/>
        <w:ind w:left="900" w:leftChars="0" w:hanging="360" w:firstLineChars="0"/>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11、招标文件中要求的资料或投标人认为针对本项目有必要提供的资料</w:t>
      </w:r>
    </w:p>
    <w:p>
      <w:pPr>
        <w:spacing w:line="360" w:lineRule="auto"/>
        <w:ind w:firstLine="482" w:firstLineChars="200"/>
        <w:outlineLvl w:val="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8、投标文件构成</w:t>
      </w:r>
      <w:bookmarkEnd w:id="42"/>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8.1投标人编写的投标文件应包括下列部分：</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8.1.1按第六章“投标文件格式”编制一份“开标一览表”，并完整地填写“投标函”、“投标报价一览表”和“商务条款偏离表和技术规格偏离表”。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8.1.2证明投标人符合资格要求的文件：应具备第二章“投标人须知”第3条“合格投标人”要求的投标资格，提供相关的资格证明文件以及第六章“投标文件格式”要求提供的其他资质文件。</w:t>
      </w:r>
    </w:p>
    <w:p>
      <w:pPr>
        <w:pStyle w:val="14"/>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8.1.3证明货物合格性和符合招标文件规定的文件材料：</w:t>
      </w:r>
    </w:p>
    <w:p>
      <w:pPr>
        <w:pStyle w:val="14"/>
        <w:spacing w:line="360" w:lineRule="auto"/>
        <w:ind w:firstLine="360" w:firstLineChars="150"/>
        <w:rPr>
          <w:rFonts w:hint="eastAsia" w:ascii="宋体" w:hAnsi="宋体" w:eastAsia="宋体" w:cs="宋体"/>
          <w:color w:val="auto"/>
          <w:szCs w:val="24"/>
          <w:highlight w:val="none"/>
        </w:rPr>
      </w:pPr>
      <w:r>
        <w:rPr>
          <w:rFonts w:hint="eastAsia" w:ascii="宋体" w:hAnsi="宋体" w:eastAsia="宋体" w:cs="宋体"/>
          <w:color w:val="auto"/>
          <w:szCs w:val="24"/>
          <w:highlight w:val="none"/>
        </w:rPr>
        <w:t>（1）“投标报价一览表”中对货物和服务来源地的说明；</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（2）货物主要技术指标和性能的详细说明，包括文字资料、样本、彩色图片和数据等；</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逐条对招标文件要求的技术需求进行应答，指出所提供的货物和服务是否对招标文件的要求做出了实质性响应，或说明与货物需求和技术规格要求的正负偏差和例外，详细填写“技术规格偏离表、商务条款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8.1.4“投标人须知”第10条要求提交的投标保证金。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9、投标报价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9.1报价原则：所有投标均以人民币元为计算单位。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9.2投标人所报的价格在合同执行过程中是固定不变的，不得以任何理由予以变更。以可调整的价格提交的投标将作为非响应性投标而予以拒绝。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9.3投标人报价应为优惠条件折算后的最终价格。评标过程中不再接受优惠条件的价格折算。</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10.1投标保证金：投标人应在投标截止时间前将投标保证金采用电汇、转账、支票、汇票、本票或者金融机构、担保机构出具的保函等非现金形式交纳，投标保证金应当从投标人的基本账户转出。</w:t>
      </w:r>
      <w:r>
        <w:rPr>
          <w:rFonts w:hint="eastAsia" w:ascii="宋体" w:hAnsi="宋体" w:cs="宋体"/>
          <w:color w:val="auto"/>
          <w:sz w:val="24"/>
          <w:highlight w:val="none"/>
          <w:lang w:eastAsia="zh-CN"/>
        </w:rPr>
        <w:t>采购人</w:t>
      </w:r>
      <w:r>
        <w:rPr>
          <w:rFonts w:hint="eastAsia" w:ascii="宋体" w:hAnsi="宋体" w:eastAsia="宋体" w:cs="宋体"/>
          <w:color w:val="auto"/>
          <w:sz w:val="24"/>
          <w:highlight w:val="none"/>
        </w:rPr>
        <w:t>不接受以现金方式提交的投标保证金，投标人未按照招标文件要求提交投标保证金的，投标无效。（保证金的交纳时间以到账时间为准）。</w:t>
      </w:r>
    </w:p>
    <w:p>
      <w:pPr>
        <w:pStyle w:val="10"/>
        <w:spacing w:line="360" w:lineRule="auto"/>
        <w:ind w:left="479" w:leftChars="228"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账户名称：中峪国际项目管理有限公司</w:t>
      </w:r>
    </w:p>
    <w:p>
      <w:pPr>
        <w:pStyle w:val="10"/>
        <w:spacing w:line="360" w:lineRule="auto"/>
        <w:ind w:left="479" w:leftChars="228"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开户行名称：兴业银行长春二道支行</w:t>
      </w:r>
    </w:p>
    <w:p>
      <w:pPr>
        <w:pStyle w:val="10"/>
        <w:spacing w:line="360" w:lineRule="auto"/>
        <w:ind w:left="479" w:leftChars="228"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      号：581050100100186135；保证金的缴纳以到账时间为准。</w:t>
      </w:r>
    </w:p>
    <w:p>
      <w:pPr>
        <w:spacing w:line="360" w:lineRule="auto"/>
        <w:ind w:left="839" w:leftChars="228" w:hanging="360" w:hanging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10.2投标保证金是为了弥补招标方因投标人的违规行为而蒙受的损失。采购人在因</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投标人的违规行为而受到损害时将没收投标人的投标保证金作为所受损害的补偿。</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10.3投标保证金是投标文件的一个组成部分，没有按要求提交投标保证金的投标，将被视为非实质性响应投标予以拒绝。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10.4落标人的投标保证金在中标通知书发出后五个工作日内退还，不计利息。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10.5中标人的投标保证金，在中标人按规定签署合同，并交纳了履约保证金（如果有要求）后5个工作日予以退还，不计利息。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10.6中标</w:t>
      </w:r>
      <w:r>
        <w:rPr>
          <w:rFonts w:hint="eastAsia" w:ascii="宋体" w:hAnsi="宋体" w:eastAsia="宋体" w:cs="宋体"/>
          <w:color w:val="auto"/>
          <w:sz w:val="24"/>
          <w:highlight w:val="none"/>
          <w:lang w:eastAsia="zh-CN"/>
        </w:rPr>
        <w:t>人</w:t>
      </w:r>
      <w:r>
        <w:rPr>
          <w:rFonts w:hint="eastAsia" w:ascii="宋体" w:hAnsi="宋体" w:eastAsia="宋体" w:cs="宋体"/>
          <w:color w:val="auto"/>
          <w:sz w:val="24"/>
          <w:highlight w:val="none"/>
        </w:rPr>
        <w:t>有下列情况之一的，采购人和采购代理机构不予退还其交纳的投标保证金：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（1）投标人在招标文件规定的投标有效期内撤回其投标；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（2）中标人未按规定提交履约保证金的；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（3）中标人未按规定时间、地点与采购人签订合同的；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（4）投标人存在严重违法行为：如提供虚假材料谋取中标，恶意串通，以及行贿或者提供其他不正当利益等；</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（5）招标文件规定不予退还投标保证金的其他情形。</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11、投标有效期</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11.1投标有效期为自开标之时起90天，投标文件在这个规定期限内应保持有效。</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11.2在特殊情况下，招标方可与投标人协商延长投标有效期。这种要求和答复都应以书面形式进行。投标人可以拒绝接受延期要求而不会被没收投标保证金。同意延长投标有效期的投标人除按照招标方要求修改投标文件的有效期外，不能修改投标文件的其他内容。</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12、投标文件的式样和签署</w:t>
      </w:r>
    </w:p>
    <w:p>
      <w:pPr>
        <w:spacing w:line="360" w:lineRule="auto"/>
        <w:ind w:firstLine="480" w:firstLineChars="200"/>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12.1投标文件须打印或用不褪色墨水书写，投标人</w:t>
      </w:r>
      <w:r>
        <w:rPr>
          <w:rFonts w:hint="eastAsia" w:ascii="宋体" w:hAnsi="宋体" w:eastAsia="宋体" w:cs="宋体"/>
          <w:color w:val="auto"/>
          <w:sz w:val="24"/>
          <w:highlight w:val="none"/>
          <w:lang w:val="en-US" w:eastAsia="zh-CN"/>
        </w:rPr>
        <w:t>应</w:t>
      </w:r>
      <w:r>
        <w:rPr>
          <w:rFonts w:hint="eastAsia" w:ascii="宋体" w:hAnsi="宋体" w:eastAsia="宋体" w:cs="宋体"/>
          <w:color w:val="auto"/>
          <w:sz w:val="24"/>
          <w:highlight w:val="none"/>
        </w:rPr>
        <w:t>加盖公章。投标文件由</w:t>
      </w:r>
      <w:r>
        <w:rPr>
          <w:rFonts w:hint="eastAsia" w:ascii="宋体" w:hAnsi="宋体" w:eastAsia="宋体" w:cs="宋体"/>
          <w:color w:val="auto"/>
          <w:sz w:val="24"/>
          <w:highlight w:val="none"/>
          <w:lang w:eastAsia="zh-CN"/>
        </w:rPr>
        <w:t>法定代表人</w:t>
      </w:r>
      <w:r>
        <w:rPr>
          <w:rFonts w:hint="eastAsia" w:ascii="宋体" w:hAnsi="宋体" w:eastAsia="宋体" w:cs="宋体"/>
          <w:color w:val="auto"/>
          <w:sz w:val="24"/>
          <w:highlight w:val="none"/>
        </w:rPr>
        <w:t>签署的，须提交以书面形式出具的“</w:t>
      </w:r>
      <w:r>
        <w:rPr>
          <w:rFonts w:hint="eastAsia" w:ascii="宋体" w:hAnsi="宋体" w:eastAsia="宋体" w:cs="宋体"/>
          <w:color w:val="auto"/>
          <w:sz w:val="24"/>
          <w:highlight w:val="none"/>
          <w:lang w:val="en-US" w:eastAsia="zh-CN"/>
        </w:rPr>
        <w:t>法定代表人身份</w:t>
      </w:r>
      <w:r>
        <w:rPr>
          <w:rFonts w:hint="eastAsia" w:ascii="宋体" w:hAnsi="宋体" w:eastAsia="宋体" w:cs="宋体"/>
          <w:color w:val="auto"/>
          <w:sz w:val="24"/>
          <w:highlight w:val="none"/>
        </w:rPr>
        <w:t>证明”；由被授权人签署的，须提交以书面形式出具的“</w:t>
      </w:r>
      <w:r>
        <w:rPr>
          <w:rFonts w:hint="eastAsia" w:ascii="宋体" w:hAnsi="宋体" w:eastAsia="宋体" w:cs="宋体"/>
          <w:color w:val="auto"/>
          <w:sz w:val="24"/>
          <w:highlight w:val="none"/>
          <w:lang w:val="en-US" w:eastAsia="zh-CN"/>
        </w:rPr>
        <w:t>法定代表人身份</w:t>
      </w:r>
      <w:r>
        <w:rPr>
          <w:rFonts w:hint="eastAsia" w:ascii="宋体" w:hAnsi="宋体" w:eastAsia="宋体" w:cs="宋体"/>
          <w:color w:val="auto"/>
          <w:sz w:val="24"/>
          <w:highlight w:val="none"/>
        </w:rPr>
        <w:t>证明”和“</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授权书”。</w:t>
      </w:r>
      <w:r>
        <w:rPr>
          <w:rFonts w:hint="eastAsia" w:ascii="宋体" w:hAnsi="宋体" w:eastAsia="宋体" w:cs="宋体"/>
          <w:b/>
          <w:bCs/>
          <w:color w:val="auto"/>
          <w:sz w:val="24"/>
          <w:highlight w:val="none"/>
          <w:lang w:val="en-US" w:eastAsia="zh-CN"/>
        </w:rPr>
        <w:t>投标文件应加盖骑缝章。未经有效盖章的投标文件将被作为非响应性投标而被拒绝。</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12.2投标文件中如有修改错漏处，应在修改处加盖</w:t>
      </w:r>
      <w:r>
        <w:rPr>
          <w:rFonts w:hint="eastAsia" w:ascii="宋体" w:hAnsi="宋体" w:eastAsia="宋体" w:cs="宋体"/>
          <w:bCs/>
          <w:color w:val="auto"/>
          <w:sz w:val="24"/>
          <w:highlight w:val="none"/>
        </w:rPr>
        <w:t>投标人</w:t>
      </w:r>
      <w:r>
        <w:rPr>
          <w:rFonts w:hint="eastAsia" w:ascii="宋体" w:hAnsi="宋体" w:eastAsia="宋体" w:cs="宋体"/>
          <w:color w:val="auto"/>
          <w:sz w:val="24"/>
          <w:highlight w:val="none"/>
        </w:rPr>
        <w:t>公章。</w:t>
      </w:r>
    </w:p>
    <w:p>
      <w:pPr>
        <w:spacing w:line="360" w:lineRule="auto"/>
        <w:ind w:firstLine="472" w:firstLineChars="196"/>
        <w:outlineLvl w:val="0"/>
        <w:rPr>
          <w:rFonts w:hint="eastAsia" w:ascii="宋体" w:hAnsi="宋体" w:eastAsia="宋体" w:cs="宋体"/>
          <w:b/>
          <w:color w:val="auto"/>
          <w:sz w:val="24"/>
          <w:highlight w:val="none"/>
        </w:rPr>
      </w:pPr>
      <w:bookmarkStart w:id="43" w:name="_Toc19664"/>
      <w:r>
        <w:rPr>
          <w:rFonts w:hint="eastAsia" w:ascii="宋体" w:hAnsi="宋体" w:eastAsia="宋体" w:cs="宋体"/>
          <w:b/>
          <w:color w:val="auto"/>
          <w:sz w:val="24"/>
          <w:highlight w:val="none"/>
        </w:rPr>
        <w:t>13、投标文件的修改和撤回</w:t>
      </w:r>
      <w:bookmarkEnd w:id="43"/>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13.1投标人在递交投标文件后，可以修改或撤回其投标文件，但招标方必须在规定的投标截止期之前收到投标人的修改或撤回的书面通知。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13.2投标人的修改或撤回通知书应按对投标文件的规定一样进行编制、密封、标记和递交，并标明“修改”或“撤回”字样。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13.3在投标截止时间（开标时间）之后，投标人不得对其投标文件做任何修改。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13.4从开标之时起，至投标有效期期满之间的这段时间内，投标人不得撤回其投标，否则根据投标人须知第10.</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条的规定，其投标保证金将被没收。与其他</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rPr>
        <w:t>恶意串通而撤回投标的，按照《中华人民共和国政府采购法》第七十七条的规定处理。</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14、投标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14.1投标人应当在招标文件要求提交投标文件的截止时间前，将投标文件密封送达投标地点。采购代理机构收到投标文件后，将如实记载投标文件的送达时间和密封情况，签收保存，并向投标人出具签收回执。任何单位和个人不得在开标前开启投标文件。逾期送达或者未按照招标文件要求密封的投标文件，采购人、采购代理机构应当拒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14.2投标人应将投标文件装订成册、密封并在信封上标明“项目名称、项目编号、投标单位名称、投标联系人名称、联系人电话、开标时间截止前不得开封”，在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规定的投标地点和投标截止时间前递交给采购代理机构。如果投标人没有按照要求标记，采购代理机构对于投标人的误投、错投概不负责。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14.3投标人应提交投标文件正本1份、副本</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份，电子版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份，并标明“正本”、“副本”字样(投标文件的正本</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副本和电子版文件单独密封，同时分别在封皮上标注“项目名称、项目编号、投标单位名称、投标联系人名称、联系人电话、开标时间截止前不得开封”字样）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14.4投标人应按照第六章“投标文件格式”的要求单独编制一份“开标一览表”，用于开标时唱标使用。“开标一览表”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14.5投标人应将“投标保证金”单独密封提交，“投标保证金”应按对投标文件的密封和标记要求单独进行密封、标记，并按14.1款的规定与投标文件同时递交。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14.6投标文件正本与副本不一致内容时，以正本为准。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14.7投标文件的装订要整齐、牢固，便于保管和利用，采用无线胶装方式，不得采用活页装订方式。</w:t>
      </w:r>
    </w:p>
    <w:p>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四、开标与评标</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15、开标</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15.1采购代理机构将在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规定的时间和地点组织公开开标，邀请投标人参加。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15.2 开标会由采购人或采购代理机构组织并主持。开标时，将由投标人或者其推选的代表检查投标文件的密封情况；经确认无误后，由采购人或者采购代理机构工作人员当众拆封，宣布投标人名称、投标价格和招标文件规定的需要宣布的其他内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15.3 投标人不足3家的，不开标。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15.4 开标时未宣读的投标价格、价格折扣和招标文件允许提供的备选投标方案等实质性内容，评标时不予承认。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15.5按照规定，提交了可接受的“撤回”通知的投标将不予开封。撤回的投标书将原封退回投标人。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15.6开标过程由采购代理机构负责记录，由参加开标的各投标人代表和相关工作人员签字确认后随采购文件一并存档。投标人代表对开标过程和开标记录有疑义，以及认为采购人、采购代理机构相关工作人员有需要回避的情形的，应当场提出询问或者回避申请。采购人、采购代理机构对投标人代表提出的询问或者回避申请将及时处理。投标人未参加开标的，视同认可开标结果。</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15.7 开标时，投标文件中开标一览表(报价表)内容与投标文件中明细表内容不一致的，以开标一览表(报价表)为准。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15.8 开标时有下列情形之一的，采购人有权宣布本项目废标：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（1）交货时间/合同履行期限符合招标文件要求的投标人不足三家的；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（2）所有投标人的报价均超过采购项目预算，采购人不能支付的。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15.9 开标结束后，采购人将依法对投标人的资格进行审查，并详细填写下表。合格投标人不足3家的，不进行评标。</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资格性审查表</w:t>
      </w:r>
    </w:p>
    <w:tbl>
      <w:tblPr>
        <w:tblStyle w:val="24"/>
        <w:tblW w:w="10219" w:type="dxa"/>
        <w:jc w:val="center"/>
        <w:tblLayout w:type="fixed"/>
        <w:tblCellMar>
          <w:top w:w="0" w:type="dxa"/>
          <w:left w:w="108" w:type="dxa"/>
          <w:bottom w:w="0" w:type="dxa"/>
          <w:right w:w="108" w:type="dxa"/>
        </w:tblCellMar>
      </w:tblPr>
      <w:tblGrid>
        <w:gridCol w:w="445"/>
        <w:gridCol w:w="8539"/>
        <w:gridCol w:w="1235"/>
      </w:tblGrid>
      <w:tr>
        <w:tblPrEx>
          <w:tblCellMar>
            <w:top w:w="0" w:type="dxa"/>
            <w:left w:w="108" w:type="dxa"/>
            <w:bottom w:w="0" w:type="dxa"/>
            <w:right w:w="108" w:type="dxa"/>
          </w:tblCellMar>
        </w:tblPrEx>
        <w:trPr>
          <w:trHeight w:val="271" w:hRule="atLeast"/>
          <w:jc w:val="center"/>
        </w:trPr>
        <w:tc>
          <w:tcPr>
            <w:tcW w:w="8984"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审查内容</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p>
        </w:tc>
      </w:tr>
      <w:tr>
        <w:tblPrEx>
          <w:tblCellMar>
            <w:top w:w="0" w:type="dxa"/>
            <w:left w:w="108" w:type="dxa"/>
            <w:bottom w:w="0" w:type="dxa"/>
            <w:right w:w="108" w:type="dxa"/>
          </w:tblCellMar>
        </w:tblPrEx>
        <w:trPr>
          <w:trHeight w:val="271" w:hRule="atLeast"/>
          <w:jc w:val="center"/>
        </w:trPr>
        <w:tc>
          <w:tcPr>
            <w:tcW w:w="8984"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1235"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w:t>
            </w: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1.具有独立承担民事责任的能力（</w:t>
            </w:r>
            <w:r>
              <w:rPr>
                <w:rFonts w:hint="eastAsia" w:ascii="宋体" w:hAnsi="宋体" w:eastAsia="宋体" w:cs="宋体"/>
                <w:color w:val="auto"/>
                <w:sz w:val="24"/>
                <w:highlight w:val="none"/>
                <w:lang w:val="en-US" w:eastAsia="zh-CN"/>
              </w:rPr>
              <w:t>法人或者其他组织的营业执照等证明文件，自然人的身份证明</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5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2.具有良好的商业信誉和健全的财务会计制度{提供近三年（20</w:t>
            </w:r>
            <w:r>
              <w:rPr>
                <w:rFonts w:hint="eastAsia" w:ascii="宋体" w:hAnsi="宋体" w:eastAsia="宋体" w:cs="宋体"/>
                <w:color w:val="auto"/>
                <w:sz w:val="24"/>
                <w:highlight w:val="none"/>
                <w:lang w:eastAsia="zh-CN"/>
              </w:rPr>
              <w:t>20</w:t>
            </w:r>
            <w:r>
              <w:rPr>
                <w:rFonts w:hint="eastAsia" w:ascii="宋体" w:hAnsi="宋体" w:eastAsia="宋体" w:cs="宋体"/>
                <w:color w:val="auto"/>
                <w:sz w:val="24"/>
                <w:highlight w:val="none"/>
              </w:rPr>
              <w:t>年-202</w:t>
            </w:r>
            <w:r>
              <w:rPr>
                <w:rFonts w:hint="eastAsia" w:ascii="宋体" w:hAnsi="宋体" w:eastAsia="宋体" w:cs="宋体"/>
                <w:color w:val="auto"/>
                <w:sz w:val="24"/>
                <w:highlight w:val="none"/>
                <w:lang w:eastAsia="zh-CN"/>
              </w:rPr>
              <w:t>2</w:t>
            </w:r>
            <w:r>
              <w:rPr>
                <w:rFonts w:hint="eastAsia" w:ascii="宋体" w:hAnsi="宋体" w:eastAsia="宋体" w:cs="宋体"/>
                <w:color w:val="auto"/>
                <w:sz w:val="24"/>
                <w:highlight w:val="none"/>
              </w:rPr>
              <w:t>年）经会计师事务所出具的财务审计报告。（若投标人为20</w:t>
            </w:r>
            <w:r>
              <w:rPr>
                <w:rFonts w:hint="eastAsia" w:ascii="宋体" w:hAnsi="宋体" w:eastAsia="宋体" w:cs="宋体"/>
                <w:color w:val="auto"/>
                <w:sz w:val="24"/>
                <w:highlight w:val="none"/>
                <w:lang w:eastAsia="zh-CN"/>
              </w:rPr>
              <w:t>20</w:t>
            </w:r>
            <w:r>
              <w:rPr>
                <w:rFonts w:hint="eastAsia" w:ascii="宋体" w:hAnsi="宋体" w:eastAsia="宋体" w:cs="宋体"/>
                <w:color w:val="auto"/>
                <w:sz w:val="24"/>
                <w:highlight w:val="none"/>
              </w:rPr>
              <w:t>年以后注册成立的公司，即需提供从成立日期起的财务审计报告；若投标人为202</w:t>
            </w:r>
            <w:r>
              <w:rPr>
                <w:rFonts w:hint="eastAsia" w:ascii="宋体" w:hAnsi="宋体" w:eastAsia="宋体" w:cs="宋体"/>
                <w:color w:val="auto"/>
                <w:sz w:val="24"/>
                <w:highlight w:val="none"/>
                <w:lang w:eastAsia="zh-CN"/>
              </w:rPr>
              <w:t>3</w:t>
            </w:r>
            <w:r>
              <w:rPr>
                <w:rFonts w:hint="eastAsia" w:ascii="宋体" w:hAnsi="宋体" w:eastAsia="宋体" w:cs="宋体"/>
                <w:color w:val="auto"/>
                <w:sz w:val="24"/>
                <w:highlight w:val="none"/>
              </w:rPr>
              <w:t>年以后注册成立的公司，即需提供一份银行资信证明）}；</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30"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3.具有履行合同所必需的设备和专业技术能力的证明材料（可以提供类似业绩合同或者可以提供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4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4.有依法缴纳税收和社会保障资金的良好记录</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CN"/>
              </w:rPr>
              <w:t>提供近一年（2023年02月以后）任意两个月的依法缴纳税收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lang w:eastAsia="zh-CN"/>
              </w:rPr>
              <w:t>和社会保障资金的相关材料（</w:t>
            </w:r>
            <w:r>
              <w:rPr>
                <w:rFonts w:hint="eastAsia" w:ascii="宋体" w:hAnsi="宋体" w:eastAsia="宋体" w:cs="宋体"/>
                <w:color w:val="auto"/>
                <w:sz w:val="24"/>
                <w:highlight w:val="none"/>
              </w:rPr>
              <w:t>依法免税的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，应提供相应文件证明其依法免税）</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5.参加政府采购活动前三年内在经营活动中没有重大违法记录的书面声明；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69"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6.投标人应当通过“信用中国”网站（www.creditchina.gov.cn）、中国政府采购网（www.ccgp.gov.cn）等渠道查询相关主体信用记录</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未被</w:t>
            </w:r>
            <w:r>
              <w:rPr>
                <w:rFonts w:hint="eastAsia" w:ascii="宋体" w:hAnsi="宋体" w:eastAsia="宋体" w:cs="宋体"/>
                <w:color w:val="auto"/>
                <w:sz w:val="24"/>
                <w:highlight w:val="none"/>
                <w:lang w:eastAsia="zh-CN"/>
              </w:rPr>
              <w:t>列入失信被执行人、重大税收违法失信主体、政府采购严重违法失信行为记录名单。</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7.</w:t>
            </w:r>
            <w:r>
              <w:rPr>
                <w:rFonts w:hint="eastAsia" w:ascii="宋体" w:hAnsi="宋体" w:cs="宋体"/>
                <w:color w:val="auto"/>
                <w:sz w:val="24"/>
                <w:highlight w:val="none"/>
                <w:lang w:eastAsia="zh-CN"/>
              </w:rPr>
              <w:t>单位负责人为同一人或存在直接控股、管理关系的不同供应商</w:t>
            </w:r>
            <w:r>
              <w:rPr>
                <w:rFonts w:hint="eastAsia" w:ascii="宋体" w:hAnsi="宋体" w:eastAsia="宋体" w:cs="宋体"/>
                <w:color w:val="auto"/>
                <w:sz w:val="24"/>
                <w:highlight w:val="none"/>
              </w:rPr>
              <w:t>，不得参加同一合同项下的政府采购活动(提供声明</w:t>
            </w:r>
            <w:r>
              <w:rPr>
                <w:rFonts w:hint="eastAsia" w:ascii="宋体" w:hAnsi="宋体" w:eastAsia="宋体" w:cs="宋体"/>
                <w:color w:val="auto"/>
                <w:sz w:val="24"/>
                <w:highlight w:val="none"/>
                <w:lang w:val="en-US" w:eastAsia="zh-CN"/>
              </w:rPr>
              <w:t>函</w:t>
            </w:r>
            <w:r>
              <w:rPr>
                <w:rFonts w:hint="eastAsia" w:ascii="宋体" w:hAnsi="宋体" w:eastAsia="宋体" w:cs="宋体"/>
                <w:color w:val="auto"/>
                <w:sz w:val="24"/>
                <w:highlight w:val="none"/>
              </w:rPr>
              <w:t>，格式自拟)。</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90" w:hRule="atLeast"/>
          <w:jc w:val="center"/>
        </w:trPr>
        <w:tc>
          <w:tcPr>
            <w:tcW w:w="1021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both"/>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审查人签字：</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注：本表中符合评审内容要求的写“√”，不符合评审内容要求的写“×”。结论为“合格”或“不合格”。结论不合格的不进入符合性审查阶段。</w:t>
      </w:r>
    </w:p>
    <w:p>
      <w:pPr>
        <w:spacing w:line="360" w:lineRule="auto"/>
        <w:ind w:firstLine="482" w:firstLineChars="200"/>
        <w:outlineLvl w:val="0"/>
        <w:rPr>
          <w:rFonts w:hint="eastAsia" w:ascii="宋体" w:hAnsi="宋体" w:eastAsia="宋体" w:cs="宋体"/>
          <w:b/>
          <w:bCs/>
          <w:color w:val="auto"/>
          <w:sz w:val="24"/>
          <w:highlight w:val="none"/>
        </w:rPr>
      </w:pPr>
      <w:bookmarkStart w:id="44" w:name="_Toc19560"/>
      <w:r>
        <w:rPr>
          <w:rFonts w:hint="eastAsia" w:ascii="宋体" w:hAnsi="宋体" w:eastAsia="宋体" w:cs="宋体"/>
          <w:b/>
          <w:bCs/>
          <w:color w:val="auto"/>
          <w:sz w:val="24"/>
          <w:highlight w:val="none"/>
        </w:rPr>
        <w:t>16、评标过程的保密性</w:t>
      </w:r>
      <w:bookmarkEnd w:id="44"/>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16.1公开开标后，直至向中标的投标人授予合同时止，除按招标文件规定予以公开的评标结果外，凡与审查、澄清、评价和比较投标有关的资料以及授标意见等，均不得向投标人及与评标无关的其他人透露。</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17、评标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17.1采购代理机构负责组织评标工作，并履行下列职责：</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（一）核对评审专家身份和采购人代表授权函，对评审专家在政府采购活动中的职责履行情况予以记录，并及时将有关违法违规行为向财政部门报告；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（二）宣布评标纪律；</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（三）公布投标人名单，告知评审专家应当回避的情形；</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（四）组织评标委员会推选评标组长，采购人代表不得担任组长；</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（五）在评标期间采取必要的通讯管理措施，保证评标活动不受外界干扰；</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（六）根据评标委员会的要求介绍政府采购相关政策法规、招标文件；</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（七）维护评标秩序，监督评标委员会依照招标文件规定的评标程序、方法和标准进行独立评审，及时制止和纠正采购人代表、评审专家的倾向性言论或者违法违规行为；</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八）核对评标结果，有《政府采购货物和服务招标投标管理办法》（中华人民共和国财政部令第87号）规定情形的，要求评标委员会复核或者书面说明理由，评标委员会拒绝的，应予记录并向本级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（九）评审工作完成后，按照规定向评审专家支付劳务报酬和异地评审差旅费，不得向评审专家以外的其他人员支付评审劳务报酬；</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（十）处理与评标有关的其他事项。</w:t>
      </w:r>
    </w:p>
    <w:p>
      <w:pPr>
        <w:spacing w:line="36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采购人可以在评标前说明项目背景和采购需求，说明内容不得含有歧视性、倾向性意见，不得超出招标文件所述范围。说明应当提交书面材料，并随采购文件一并存档。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评标委员会由评审专家</w:t>
      </w:r>
      <w:r>
        <w:rPr>
          <w:rFonts w:hint="eastAsia" w:ascii="宋体" w:hAnsi="宋体" w:eastAsia="宋体" w:cs="宋体"/>
          <w:color w:val="auto"/>
          <w:sz w:val="24"/>
          <w:highlight w:val="none"/>
          <w:lang w:val="en-US" w:eastAsia="zh-CN"/>
        </w:rPr>
        <w:t>6人</w:t>
      </w:r>
      <w:r>
        <w:rPr>
          <w:rFonts w:hint="eastAsia" w:ascii="宋体" w:hAnsi="宋体" w:eastAsia="宋体" w:cs="宋体"/>
          <w:color w:val="auto"/>
          <w:sz w:val="24"/>
          <w:highlight w:val="none"/>
          <w:lang w:val="zh-CN"/>
        </w:rPr>
        <w:t>和采购人代表</w:t>
      </w:r>
      <w:r>
        <w:rPr>
          <w:rFonts w:hint="eastAsia" w:ascii="宋体" w:hAnsi="宋体" w:eastAsia="宋体" w:cs="宋体"/>
          <w:color w:val="auto"/>
          <w:sz w:val="24"/>
          <w:highlight w:val="none"/>
          <w:lang w:val="en-US" w:eastAsia="zh-CN"/>
        </w:rPr>
        <w:t>1人</w:t>
      </w:r>
      <w:r>
        <w:rPr>
          <w:rFonts w:hint="eastAsia" w:ascii="宋体" w:hAnsi="宋体" w:eastAsia="宋体" w:cs="宋体"/>
          <w:color w:val="auto"/>
          <w:sz w:val="24"/>
          <w:highlight w:val="none"/>
          <w:lang w:val="zh-CN"/>
        </w:rPr>
        <w:t>组成。评标委员会的专家成员从省政府采购监督管理部门建立的专家库中随机抽取产生，采购人代表由采购人委派。</w:t>
      </w:r>
      <w:r>
        <w:rPr>
          <w:rFonts w:hint="eastAsia" w:ascii="宋体" w:hAnsi="宋体" w:eastAsia="宋体" w:cs="宋体"/>
          <w:color w:val="auto"/>
          <w:sz w:val="24"/>
          <w:highlight w:val="none"/>
        </w:rPr>
        <w:t>评标委员会根据有关法律法规和招标文件规定的方法和标准独立评标，负责完成评标的全过程直至评定预中标人，成员人数应当为5人以上单数，其中评审专家不得少于成员总数的三分之二。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采购项目符合下列情形之一的，评标委员会成员人数应当为7人以上单数：</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（一）采购预算金额在1000万元以上；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（二）技术复杂；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（三）社会影响较大。</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评标委员会负责具体评标事物，并独立履行下列职责：</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（一）审查、评价投标文件是否符合招标文件的商务、技术等实质性要求；</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（二）要求投标人对投标文件有关事项作出澄清或者说明；</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（三）对投标文件进行比较和评价；</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（四）确定中标候选人名单，以及根据采购人委托直接确定中标人；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（五）向采购人、采购代理机构或者有关部门报告评标中发现的违法行为。</w:t>
      </w:r>
    </w:p>
    <w:p>
      <w:pPr>
        <w:spacing w:line="360" w:lineRule="auto"/>
        <w:ind w:firstLine="361" w:firstLineChars="1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18、政府采购进口产品的规定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照财政部《政府采购进口产品管理办法》第一章第四条关于“政府采购应当采购本国产品，确需采购进口产品（指通过中国海关报关验放进入中国境内且产自关境外的产品）的，实行审核管理”的规定，招标采购文件中凡未明确标明采购进口产品的，均为采购本国产品，投标人必须投标本国产品，投标进口产品的为无效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在中国境内生产或组装的外国品牌产品须标明该产品在中国国内制造厂商名称。否则，按进口产品对待。</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19、政府强制采购节能产品的规定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 按照财政部、发展改革委最新发布执行的《</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》的规定，《货物需求及技术规格要求》中凡包含强制采购产品的，投标人必须提供列入《</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要求产品，投标文件中需提供认证证明，认证机构须在市场监管总局公布的名录内详见《市场监管总局关于发布参与实施政府采购节能产品、环境标志产品认证机构名录的公告（2019年第16号文件）》，否则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19.2《货物需求及技术规格要求》中包含计算机设备的，投标人必须投标预装正版操作系统软件的计算机产品，否则无效。</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五、中标与合同</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w:t>
      </w:r>
      <w:bookmarkStart w:id="45" w:name="OLE_LINK3"/>
      <w:r>
        <w:rPr>
          <w:rFonts w:hint="eastAsia" w:ascii="宋体" w:hAnsi="宋体" w:eastAsia="宋体" w:cs="宋体"/>
          <w:b/>
          <w:color w:val="auto"/>
          <w:sz w:val="24"/>
          <w:highlight w:val="none"/>
        </w:rPr>
        <w:t>中标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20.1采购代理机构应当在评标结束后2个工作日内将评标报告送采购人。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 采购代理机构应自采购人确定中标人之日起2个工作日内，在省级以上财政部门指定的媒体上公告中标结果，招标文件应当随中标结果同时公告。中标公告期限为1个工作日。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20.3在公告中标结果的同时，采购代理机构向中标人发出中标通知书；对未通过资格审查的投标人，将告知其未通过的原因；采用综合评分法评审的，还将告知未中标人本人的评审得分与排序。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20.4中标人在领取中标通知书时须向代理机构出示中标服务费的缴纳凭证，如未按招标文件中的金额足额缴纳，</w:t>
      </w:r>
      <w:r>
        <w:rPr>
          <w:rFonts w:hint="eastAsia" w:ascii="宋体" w:hAnsi="宋体" w:cs="宋体"/>
          <w:color w:val="auto"/>
          <w:sz w:val="24"/>
          <w:highlight w:val="none"/>
          <w:lang w:eastAsia="zh-CN"/>
        </w:rPr>
        <w:t>采购代理机构</w:t>
      </w:r>
      <w:r>
        <w:rPr>
          <w:rFonts w:hint="eastAsia" w:ascii="宋体" w:hAnsi="宋体" w:eastAsia="宋体" w:cs="宋体"/>
          <w:color w:val="auto"/>
          <w:sz w:val="24"/>
          <w:highlight w:val="none"/>
        </w:rPr>
        <w:t>不予发放中标通知书，由此所造成的损失由中标单位自行承担。</w:t>
      </w:r>
      <w:bookmarkEnd w:id="45"/>
    </w:p>
    <w:p>
      <w:pPr>
        <w:spacing w:line="360" w:lineRule="auto"/>
        <w:ind w:firstLine="482" w:firstLineChars="200"/>
        <w:outlineLvl w:val="0"/>
        <w:rPr>
          <w:rFonts w:hint="eastAsia" w:ascii="宋体" w:hAnsi="宋体" w:eastAsia="宋体" w:cs="宋体"/>
          <w:b/>
          <w:bCs/>
          <w:color w:val="auto"/>
          <w:sz w:val="24"/>
          <w:highlight w:val="none"/>
        </w:rPr>
      </w:pPr>
      <w:bookmarkStart w:id="46" w:name="_Toc246"/>
      <w:r>
        <w:rPr>
          <w:rFonts w:hint="eastAsia" w:ascii="宋体" w:hAnsi="宋体" w:eastAsia="宋体" w:cs="宋体"/>
          <w:b/>
          <w:bCs/>
          <w:color w:val="auto"/>
          <w:sz w:val="24"/>
          <w:highlight w:val="none"/>
        </w:rPr>
        <w:t>21、授标时更改货物数量的权利</w:t>
      </w:r>
      <w:bookmarkEnd w:id="46"/>
    </w:p>
    <w:p>
      <w:pPr>
        <w:spacing w:line="360" w:lineRule="auto"/>
        <w:ind w:firstLine="480" w:firstLineChars="200"/>
        <w:outlineLvl w:val="0"/>
        <w:rPr>
          <w:rFonts w:hint="eastAsia" w:ascii="宋体" w:hAnsi="宋体" w:eastAsia="宋体" w:cs="宋体"/>
          <w:color w:val="auto"/>
          <w:sz w:val="24"/>
          <w:highlight w:val="none"/>
        </w:rPr>
      </w:pPr>
      <w:bookmarkStart w:id="47" w:name="_Toc29886"/>
      <w:r>
        <w:rPr>
          <w:rFonts w:hint="eastAsia" w:ascii="宋体" w:hAnsi="宋体" w:eastAsia="宋体" w:cs="宋体"/>
          <w:color w:val="auto"/>
          <w:sz w:val="24"/>
          <w:highlight w:val="none"/>
        </w:rPr>
        <w:t>21.1采购人在授予合同时有权在一定幅度内对《货物需求及技术规格》中规定的货物数量和服务予以增加或减少，但不得改变单价和其他条款和条件。</w:t>
      </w:r>
      <w:bookmarkEnd w:id="47"/>
    </w:p>
    <w:p>
      <w:pPr>
        <w:spacing w:line="360" w:lineRule="auto"/>
        <w:ind w:firstLine="480" w:firstLineChars="200"/>
        <w:outlineLvl w:val="0"/>
        <w:rPr>
          <w:rFonts w:hint="eastAsia" w:ascii="宋体" w:hAnsi="宋体" w:eastAsia="宋体" w:cs="宋体"/>
          <w:color w:val="auto"/>
          <w:sz w:val="24"/>
          <w:highlight w:val="none"/>
        </w:rPr>
      </w:pPr>
      <w:bookmarkStart w:id="48" w:name="_Toc8891"/>
      <w:r>
        <w:rPr>
          <w:rFonts w:hint="eastAsia" w:ascii="宋体" w:hAnsi="宋体" w:eastAsia="宋体" w:cs="宋体"/>
          <w:color w:val="auto"/>
          <w:sz w:val="24"/>
          <w:highlight w:val="none"/>
        </w:rPr>
        <w:t>21.2按照《中华人民共和国政府采购法》的规定，在合同履行中，采购人需要追加与合同标的物相同的货物、工程或者服务的，在不改变合同其他条款的前提下，可以与中标人签订补充合同，但所有补充合同的采购金额不得超过原合同采购金额的10%。</w:t>
      </w:r>
      <w:bookmarkEnd w:id="48"/>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22、签订合同</w:t>
      </w:r>
    </w:p>
    <w:p>
      <w:pPr>
        <w:spacing w:line="360" w:lineRule="auto"/>
        <w:ind w:firstLine="480" w:firstLineChars="200"/>
        <w:outlineLvl w:val="0"/>
        <w:rPr>
          <w:rFonts w:hint="eastAsia" w:ascii="宋体" w:hAnsi="宋体" w:eastAsia="宋体" w:cs="宋体"/>
          <w:color w:val="auto"/>
          <w:sz w:val="24"/>
          <w:highlight w:val="none"/>
        </w:rPr>
      </w:pPr>
      <w:bookmarkStart w:id="49" w:name="_Toc949"/>
      <w:r>
        <w:rPr>
          <w:rFonts w:hint="eastAsia" w:ascii="宋体" w:hAnsi="宋体" w:eastAsia="宋体" w:cs="宋体"/>
          <w:color w:val="auto"/>
          <w:sz w:val="24"/>
          <w:highlight w:val="none"/>
        </w:rPr>
        <w:t>22.1 中标通知书发出后，采购人不得违法改变中标结果，中标人无正当理由不得放弃中标。</w:t>
      </w:r>
      <w:bookmarkEnd w:id="49"/>
    </w:p>
    <w:p>
      <w:pPr>
        <w:spacing w:line="360" w:lineRule="auto"/>
        <w:ind w:firstLine="480" w:firstLineChars="200"/>
        <w:outlineLvl w:val="0"/>
        <w:rPr>
          <w:rFonts w:hint="eastAsia" w:ascii="宋体" w:hAnsi="宋体" w:eastAsia="宋体" w:cs="宋体"/>
          <w:color w:val="auto"/>
          <w:sz w:val="24"/>
          <w:highlight w:val="none"/>
        </w:rPr>
      </w:pPr>
      <w:bookmarkStart w:id="50" w:name="_Toc19236"/>
      <w:r>
        <w:rPr>
          <w:rFonts w:hint="eastAsia" w:ascii="宋体" w:hAnsi="宋体" w:eastAsia="宋体" w:cs="宋体"/>
          <w:color w:val="auto"/>
          <w:sz w:val="24"/>
          <w:highlight w:val="none"/>
        </w:rPr>
        <w:t>22.2采购人应当自中标通知书发出之日起30日内，按照招标文件和中标人投标文件的规定，与中标人签订书面合同。所签订的合同不得对招标文件确定的事项和中标人投标文件作实质性修改。</w:t>
      </w:r>
      <w:bookmarkEnd w:id="50"/>
    </w:p>
    <w:p>
      <w:pPr>
        <w:spacing w:line="360" w:lineRule="auto"/>
        <w:ind w:firstLine="480" w:firstLineChars="200"/>
        <w:outlineLvl w:val="0"/>
        <w:rPr>
          <w:rFonts w:hint="eastAsia" w:ascii="宋体" w:hAnsi="宋体" w:eastAsia="宋体" w:cs="宋体"/>
          <w:color w:val="auto"/>
          <w:sz w:val="24"/>
          <w:highlight w:val="none"/>
        </w:rPr>
      </w:pPr>
      <w:bookmarkStart w:id="51" w:name="_Toc29744"/>
      <w:r>
        <w:rPr>
          <w:rFonts w:hint="eastAsia" w:ascii="宋体" w:hAnsi="宋体" w:eastAsia="宋体" w:cs="宋体"/>
          <w:color w:val="auto"/>
          <w:sz w:val="24"/>
          <w:highlight w:val="none"/>
        </w:rPr>
        <w:t>22.3采购人不得向中标人提出任何不合理的要求作为签订合同的条件。</w:t>
      </w:r>
      <w:bookmarkEnd w:id="51"/>
    </w:p>
    <w:p>
      <w:pPr>
        <w:spacing w:line="360" w:lineRule="auto"/>
        <w:ind w:firstLine="482" w:firstLineChars="200"/>
        <w:outlineLvl w:val="0"/>
        <w:rPr>
          <w:rFonts w:hint="eastAsia" w:ascii="宋体" w:hAnsi="宋体" w:eastAsia="宋体" w:cs="宋体"/>
          <w:b/>
          <w:bCs/>
          <w:color w:val="auto"/>
          <w:sz w:val="24"/>
          <w:highlight w:val="none"/>
        </w:rPr>
      </w:pPr>
      <w:bookmarkStart w:id="52" w:name="_Toc32689"/>
      <w:r>
        <w:rPr>
          <w:rFonts w:hint="eastAsia" w:ascii="宋体" w:hAnsi="宋体" w:eastAsia="宋体" w:cs="宋体"/>
          <w:b/>
          <w:bCs/>
          <w:color w:val="auto"/>
          <w:sz w:val="24"/>
          <w:highlight w:val="none"/>
        </w:rPr>
        <w:t>23、保密和披露</w:t>
      </w:r>
      <w:bookmarkEnd w:id="52"/>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53" w:name="_Toc31538"/>
      <w:r>
        <w:rPr>
          <w:rFonts w:hint="eastAsia" w:ascii="宋体" w:hAnsi="宋体" w:eastAsia="宋体" w:cs="宋体"/>
          <w:color w:val="auto"/>
          <w:sz w:val="24"/>
          <w:highlight w:val="none"/>
        </w:rPr>
        <w:t>23.1 投标人自购买招标文件之日起，须承诺承担本招标项目下的保密义务，不得将因本次招标获得的信息向第三人外传。</w:t>
      </w:r>
      <w:bookmarkEnd w:id="53"/>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54" w:name="_Toc22737"/>
      <w:r>
        <w:rPr>
          <w:rFonts w:hint="eastAsia" w:ascii="宋体" w:hAnsi="宋体" w:eastAsia="宋体" w:cs="宋体"/>
          <w:color w:val="auto"/>
          <w:sz w:val="24"/>
          <w:highlight w:val="none"/>
        </w:rPr>
        <w:t>23.2 采购人有权将投标人提供的所有资料向其他政府部门或有关的非政府机构负责评审标书的人员或与评标有关的人员披露。</w:t>
      </w:r>
      <w:bookmarkEnd w:id="54"/>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55" w:name="_Toc4352"/>
      <w:r>
        <w:rPr>
          <w:rFonts w:hint="eastAsia" w:ascii="宋体" w:hAnsi="宋体" w:eastAsia="宋体" w:cs="宋体"/>
          <w:color w:val="auto"/>
          <w:sz w:val="24"/>
          <w:highlight w:val="none"/>
        </w:rPr>
        <w:t>23.3 在下列情形下：当发布中标公告和其它公告时，当国家机关调查、审查、审计时，以及在其他符合法律规定的情形下，采购人无须事先征求投标人/中标人同意而可以披露关于采购过程、投标文件、合同文本、合同签署情况的资料、投标人/中标人的名称及地址、采购内容的有关信息以及补充条款等，并且对任何已经公布过的内容或与之内容相同的资料无须再承担保密责任。</w:t>
      </w:r>
      <w:bookmarkEnd w:id="55"/>
    </w:p>
    <w:p>
      <w:pPr>
        <w:spacing w:line="360" w:lineRule="auto"/>
        <w:ind w:firstLine="482" w:firstLineChars="200"/>
        <w:outlineLvl w:val="0"/>
        <w:rPr>
          <w:rFonts w:hint="eastAsia" w:ascii="宋体" w:hAnsi="宋体" w:eastAsia="宋体" w:cs="宋体"/>
          <w:b/>
          <w:bCs/>
          <w:color w:val="auto"/>
          <w:sz w:val="24"/>
          <w:highlight w:val="none"/>
        </w:rPr>
      </w:pPr>
      <w:bookmarkStart w:id="56" w:name="_Toc28928"/>
      <w:r>
        <w:rPr>
          <w:rFonts w:hint="eastAsia" w:ascii="宋体" w:hAnsi="宋体" w:eastAsia="宋体" w:cs="宋体"/>
          <w:b/>
          <w:bCs/>
          <w:color w:val="auto"/>
          <w:sz w:val="24"/>
          <w:highlight w:val="none"/>
        </w:rPr>
        <w:t>24、质疑和投诉</w:t>
      </w:r>
      <w:bookmarkEnd w:id="56"/>
    </w:p>
    <w:p>
      <w:pPr>
        <w:spacing w:line="360" w:lineRule="auto"/>
        <w:ind w:firstLine="480" w:firstLineChars="200"/>
        <w:outlineLvl w:val="0"/>
        <w:rPr>
          <w:rFonts w:hint="eastAsia" w:ascii="宋体" w:hAnsi="宋体" w:eastAsia="宋体" w:cs="宋体"/>
          <w:color w:val="auto"/>
          <w:sz w:val="24"/>
          <w:highlight w:val="none"/>
        </w:rPr>
      </w:pPr>
      <w:bookmarkStart w:id="57" w:name="_Toc1093"/>
      <w:r>
        <w:rPr>
          <w:rFonts w:hint="eastAsia" w:ascii="宋体" w:hAnsi="宋体" w:eastAsia="宋体" w:cs="宋体"/>
          <w:color w:val="auto"/>
          <w:sz w:val="24"/>
          <w:highlight w:val="none"/>
        </w:rPr>
        <w:t>24.1投标人认为招标文件、招标过程和中标结果使自己的合法权益受到损害的，应当在知道或者应知其权益受到损害之日起七个工作日内以书面形式（须加盖公章）{质疑书的具体内容详见《政府采购质疑和投诉办法》（第94号令）}通知采购代理机构向招标方提出质疑（如投标人所参与项目须要在网上提交质疑程序，</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rPr>
        <w:t>须将纸质版质疑材料与网上提交质疑程序在同一工作日内进行，如出现日期不一致时，以两者中最后日期为准）。</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rPr>
        <w:t>应在法定质疑期内一次性提出针对同一采购程序环节的质疑。（</w:t>
      </w:r>
      <w:r>
        <w:rPr>
          <w:rFonts w:hint="eastAsia" w:ascii="宋体" w:hAnsi="宋体" w:cs="宋体"/>
          <w:color w:val="auto"/>
          <w:sz w:val="24"/>
          <w:highlight w:val="none"/>
        </w:rPr>
        <w:t>质疑联系部门、联系电话和通讯地址等信息</w:t>
      </w:r>
      <w:r>
        <w:rPr>
          <w:rFonts w:hint="eastAsia" w:ascii="宋体" w:hAnsi="宋体" w:cs="宋体"/>
          <w:color w:val="auto"/>
          <w:sz w:val="24"/>
          <w:highlight w:val="none"/>
          <w:lang w:val="en-US" w:eastAsia="zh-CN"/>
        </w:rPr>
        <w:t>见公告招标代理公司信息</w:t>
      </w:r>
      <w:r>
        <w:rPr>
          <w:rFonts w:hint="eastAsia" w:ascii="宋体" w:hAnsi="宋体" w:eastAsia="宋体" w:cs="宋体"/>
          <w:color w:val="auto"/>
          <w:sz w:val="24"/>
          <w:highlight w:val="none"/>
        </w:rPr>
        <w:t>）投标人对采购人的质疑答复不满意或者采购人未在规定时间内作出答复的，可以在答复期满后十五个工作日内向同级采购监管部门投诉。</w:t>
      </w:r>
      <w:bookmarkEnd w:id="57"/>
    </w:p>
    <w:p>
      <w:pPr>
        <w:spacing w:line="360" w:lineRule="auto"/>
        <w:ind w:firstLine="480" w:firstLineChars="200"/>
        <w:outlineLvl w:val="0"/>
        <w:rPr>
          <w:rFonts w:hint="eastAsia" w:ascii="宋体" w:hAnsi="宋体" w:eastAsia="宋体" w:cs="宋体"/>
          <w:color w:val="auto"/>
          <w:sz w:val="24"/>
          <w:highlight w:val="none"/>
        </w:rPr>
      </w:pPr>
      <w:bookmarkStart w:id="58" w:name="_Toc2522"/>
      <w:r>
        <w:rPr>
          <w:rFonts w:hint="eastAsia" w:ascii="宋体" w:hAnsi="宋体" w:eastAsia="宋体" w:cs="宋体"/>
          <w:color w:val="auto"/>
          <w:sz w:val="24"/>
          <w:highlight w:val="none"/>
        </w:rPr>
        <w:t>24.2质疑书、投诉书均应明确阐述招标文件、招标过程和中标结果中使自己合法权益受到损害的实质性内容，提供相关事实、依据和证据及其来源或线索，便于有关单位调查、答复和处理。</w:t>
      </w:r>
      <w:bookmarkEnd w:id="58"/>
    </w:p>
    <w:p>
      <w:pPr>
        <w:numPr>
          <w:ilvl w:val="0"/>
          <w:numId w:val="0"/>
        </w:num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kern w:val="2"/>
          <w:sz w:val="24"/>
          <w:szCs w:val="24"/>
          <w:lang w:val="en-US" w:eastAsia="zh-CN" w:bidi="ar-SA"/>
        </w:rPr>
        <w:t>25、</w:t>
      </w:r>
      <w:r>
        <w:rPr>
          <w:rFonts w:hint="eastAsia" w:ascii="宋体" w:hAnsi="宋体" w:eastAsia="宋体" w:cs="宋体"/>
          <w:b/>
          <w:color w:val="auto"/>
          <w:sz w:val="24"/>
          <w:highlight w:val="none"/>
        </w:rPr>
        <w:t>中标服务费</w:t>
      </w:r>
    </w:p>
    <w:p>
      <w:pPr>
        <w:widowControl/>
        <w:wordWrap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25.1</w:t>
      </w:r>
      <w:r>
        <w:rPr>
          <w:rFonts w:hint="eastAsia" w:ascii="宋体" w:hAnsi="宋体" w:eastAsia="宋体" w:cs="宋体"/>
          <w:b w:val="0"/>
          <w:bCs w:val="0"/>
          <w:color w:val="auto"/>
          <w:sz w:val="24"/>
          <w:highlight w:val="none"/>
        </w:rPr>
        <w:t>参照国家发展计划委员会计价格[2002]1980号、发改办价格[2003]857号文件标准，向中标人收取招标代理服务费。本项目按折扣比例0.</w:t>
      </w:r>
      <w:r>
        <w:rPr>
          <w:rFonts w:hint="eastAsia" w:ascii="宋体" w:hAnsi="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p>
      <w:pPr>
        <w:numPr>
          <w:ilvl w:val="0"/>
          <w:numId w:val="0"/>
        </w:num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2"/>
          <w:sz w:val="21"/>
          <w:szCs w:val="24"/>
          <w:lang w:val="en-US" w:eastAsia="zh-CN" w:bidi="ar-SA"/>
        </w:rPr>
        <w:t>26、</w:t>
      </w:r>
      <w:r>
        <w:rPr>
          <w:rFonts w:hint="eastAsia" w:ascii="宋体" w:hAnsi="宋体" w:eastAsia="宋体" w:cs="宋体"/>
          <w:b/>
          <w:color w:val="auto"/>
          <w:sz w:val="24"/>
          <w:highlight w:val="none"/>
          <w:lang w:val="en-US" w:eastAsia="zh-CN"/>
        </w:rPr>
        <w:t>其他要求</w:t>
      </w:r>
      <w:r>
        <w:rPr>
          <w:rFonts w:hint="eastAsia" w:ascii="宋体" w:hAnsi="宋体" w:eastAsia="宋体" w:cs="宋体"/>
          <w:b/>
          <w:color w:val="auto"/>
          <w:sz w:val="24"/>
          <w:highlight w:val="none"/>
          <w:lang w:eastAsia="zh-CN"/>
        </w:rPr>
        <w:t>：</w:t>
      </w:r>
      <w:r>
        <w:rPr>
          <w:rFonts w:hint="eastAsia" w:ascii="宋体" w:hAnsi="宋体" w:eastAsia="宋体" w:cs="宋体"/>
          <w:color w:val="auto"/>
          <w:kern w:val="2"/>
          <w:sz w:val="24"/>
          <w:szCs w:val="24"/>
          <w:highlight w:val="none"/>
          <w:lang w:val="en-US" w:eastAsia="zh-CN" w:bidi="ar-SA"/>
        </w:rPr>
        <w:t>详见投标人须知前附表。</w:t>
      </w:r>
    </w:p>
    <w:p>
      <w:pPr>
        <w:pStyle w:val="10"/>
        <w:rPr>
          <w:rFonts w:hint="eastAsia" w:ascii="宋体" w:hAnsi="宋体" w:eastAsia="宋体" w:cs="宋体"/>
          <w:color w:val="auto"/>
          <w:highlight w:val="none"/>
        </w:rPr>
      </w:pPr>
    </w:p>
    <w:p>
      <w:pPr>
        <w:rPr>
          <w:rFonts w:hint="eastAsia" w:ascii="宋体" w:hAnsi="宋体" w:eastAsia="宋体" w:cs="宋体"/>
          <w:color w:val="auto"/>
          <w:highlight w:val="none"/>
        </w:rPr>
      </w:pPr>
      <w:bookmarkStart w:id="59" w:name="_Toc28515"/>
      <w:r>
        <w:rPr>
          <w:rFonts w:hint="eastAsia" w:ascii="宋体" w:hAnsi="宋体" w:eastAsia="宋体" w:cs="宋体"/>
          <w:color w:val="auto"/>
          <w:highlight w:val="none"/>
        </w:rPr>
        <w:br w:type="page"/>
      </w:r>
    </w:p>
    <w:p>
      <w:pPr>
        <w:pStyle w:val="5"/>
        <w:spacing w:line="360" w:lineRule="auto"/>
        <w:jc w:val="center"/>
        <w:outlineLvl w:val="0"/>
        <w:rPr>
          <w:rFonts w:hint="eastAsia" w:ascii="宋体" w:hAnsi="宋体" w:eastAsia="宋体" w:cs="宋体"/>
          <w:color w:val="auto"/>
          <w:highlight w:val="none"/>
        </w:rPr>
      </w:pPr>
      <w:r>
        <w:rPr>
          <w:rFonts w:hint="eastAsia" w:ascii="宋体" w:hAnsi="宋体" w:eastAsia="宋体" w:cs="宋体"/>
          <w:color w:val="auto"/>
          <w:highlight w:val="none"/>
        </w:rPr>
        <w:t>第三章</w:t>
      </w:r>
      <w:r>
        <w:rPr>
          <w:rFonts w:hint="eastAsia" w:ascii="宋体" w:hAnsi="宋体" w:cs="宋体"/>
          <w:color w:val="auto"/>
          <w:highlight w:val="none"/>
          <w:lang w:val="en-US" w:eastAsia="zh-CN"/>
        </w:rPr>
        <w:t xml:space="preserve">  </w:t>
      </w:r>
      <w:r>
        <w:rPr>
          <w:rFonts w:hint="eastAsia" w:ascii="宋体" w:hAnsi="宋体" w:eastAsia="宋体" w:cs="宋体"/>
          <w:color w:val="auto"/>
          <w:highlight w:val="none"/>
        </w:rPr>
        <w:t>评标办法</w:t>
      </w:r>
      <w:bookmarkEnd w:id="59"/>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评标应当遵循下列工作程序：</w:t>
      </w:r>
    </w:p>
    <w:p>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3.1符合性审查。</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3.1.1 评标委员会将对符合资格的投标人的投标文件进行符合性审查，以确定其是否满足招标文件的实质性要求。</w:t>
      </w:r>
    </w:p>
    <w:p>
      <w:pPr>
        <w:pStyle w:val="19"/>
        <w:spacing w:beforeAutospacing="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highlight w:val="none"/>
        </w:rPr>
        <w:t>符合性审查表</w:t>
      </w:r>
    </w:p>
    <w:tbl>
      <w:tblPr>
        <w:tblStyle w:val="24"/>
        <w:tblW w:w="9259" w:type="dxa"/>
        <w:jc w:val="center"/>
        <w:tblLayout w:type="fixed"/>
        <w:tblCellMar>
          <w:top w:w="0" w:type="dxa"/>
          <w:left w:w="108" w:type="dxa"/>
          <w:bottom w:w="0" w:type="dxa"/>
          <w:right w:w="108" w:type="dxa"/>
        </w:tblCellMar>
      </w:tblPr>
      <w:tblGrid>
        <w:gridCol w:w="1091"/>
        <w:gridCol w:w="6865"/>
        <w:gridCol w:w="1303"/>
      </w:tblGrid>
      <w:tr>
        <w:tblPrEx>
          <w:tblCellMar>
            <w:top w:w="0" w:type="dxa"/>
            <w:left w:w="108" w:type="dxa"/>
            <w:bottom w:w="0" w:type="dxa"/>
            <w:right w:w="108" w:type="dxa"/>
          </w:tblCellMar>
        </w:tblPrEx>
        <w:trPr>
          <w:trHeight w:val="152" w:hRule="atLeast"/>
          <w:jc w:val="center"/>
        </w:trPr>
        <w:tc>
          <w:tcPr>
            <w:tcW w:w="7956"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审查内容</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p>
        </w:tc>
      </w:tr>
      <w:tr>
        <w:tblPrEx>
          <w:tblCellMar>
            <w:top w:w="0" w:type="dxa"/>
            <w:left w:w="108" w:type="dxa"/>
            <w:bottom w:w="0" w:type="dxa"/>
            <w:right w:w="108" w:type="dxa"/>
          </w:tblCellMar>
        </w:tblPrEx>
        <w:trPr>
          <w:trHeight w:val="152" w:hRule="atLeast"/>
          <w:jc w:val="center"/>
        </w:trPr>
        <w:tc>
          <w:tcPr>
            <w:tcW w:w="7956"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1303"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符合性审查</w:t>
            </w: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1）投标报价未超出采购预算。</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2）投标报价符合招标文件中的规定</w:t>
            </w:r>
            <w:r>
              <w:rPr>
                <w:rFonts w:hint="eastAsia" w:ascii="宋体" w:hAnsi="宋体" w:eastAsia="宋体" w:cs="宋体"/>
                <w:color w:val="auto"/>
                <w:sz w:val="24"/>
                <w:szCs w:val="24"/>
                <w:highlight w:val="none"/>
                <w:lang w:eastAsia="zh-CN"/>
              </w:rPr>
              <w:t>。</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926"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numPr>
                <w:ilvl w:val="0"/>
                <w:numId w:val="3"/>
              </w:numPr>
              <w:kinsoku/>
              <w:wordWrap/>
              <w:overflowPunct/>
              <w:topLinePunct w:val="0"/>
              <w:autoSpaceDE/>
              <w:autoSpaceDN/>
              <w:bidi w:val="0"/>
              <w:adjustRightInd/>
              <w:snapToGrid/>
              <w:spacing w:afterAutospacing="0"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按招标文件要求</w:t>
            </w:r>
            <w:r>
              <w:rPr>
                <w:rFonts w:hint="eastAsia" w:ascii="宋体" w:hAnsi="宋体" w:eastAsia="宋体" w:cs="宋体"/>
                <w:color w:val="auto"/>
                <w:sz w:val="24"/>
                <w:szCs w:val="24"/>
                <w:highlight w:val="none"/>
                <w:lang w:val="en-US" w:eastAsia="zh-CN"/>
              </w:rPr>
              <w:t>对</w:t>
            </w:r>
            <w:r>
              <w:rPr>
                <w:rFonts w:hint="eastAsia" w:ascii="宋体" w:hAnsi="宋体" w:eastAsia="宋体" w:cs="宋体"/>
                <w:color w:val="auto"/>
                <w:sz w:val="24"/>
                <w:szCs w:val="24"/>
                <w:highlight w:val="none"/>
              </w:rPr>
              <w:t>商务</w:t>
            </w:r>
            <w:r>
              <w:rPr>
                <w:rFonts w:hint="eastAsia" w:ascii="宋体" w:hAnsi="宋体" w:cs="宋体"/>
                <w:color w:val="auto"/>
                <w:sz w:val="24"/>
                <w:szCs w:val="24"/>
                <w:highlight w:val="none"/>
                <w:lang w:val="en-US" w:eastAsia="zh-CN"/>
              </w:rPr>
              <w:t>条款</w:t>
            </w:r>
            <w:r>
              <w:rPr>
                <w:rFonts w:hint="eastAsia" w:ascii="宋体" w:hAnsi="宋体" w:eastAsia="宋体" w:cs="宋体"/>
                <w:color w:val="auto"/>
                <w:sz w:val="24"/>
                <w:szCs w:val="24"/>
                <w:highlight w:val="none"/>
              </w:rPr>
              <w:t>进行应答，投标人须如实填写“商务条款偏离表”。</w:t>
            </w:r>
          </w:p>
          <w:p>
            <w:pPr>
              <w:keepNext w:val="0"/>
              <w:keepLines w:val="0"/>
              <w:pageBreakBefore w:val="0"/>
              <w:numPr>
                <w:ilvl w:val="0"/>
                <w:numId w:val="0"/>
              </w:numPr>
              <w:kinsoku/>
              <w:wordWrap/>
              <w:overflowPunct/>
              <w:topLinePunct w:val="0"/>
              <w:autoSpaceDE/>
              <w:autoSpaceDN/>
              <w:bidi w:val="0"/>
              <w:adjustRightInd/>
              <w:snapToGrid/>
              <w:spacing w:afterAutospacing="0" w:line="240" w:lineRule="auto"/>
              <w:rPr>
                <w:rFonts w:hint="default"/>
                <w:color w:val="auto"/>
                <w:highlight w:val="none"/>
                <w:lang w:val="en-US" w:eastAsia="zh-CN"/>
              </w:rPr>
            </w:pPr>
            <w:r>
              <w:rPr>
                <w:rFonts w:hint="eastAsia" w:ascii="宋体" w:hAnsi="宋体" w:eastAsia="宋体" w:cs="宋体"/>
                <w:b/>
                <w:bCs/>
                <w:color w:val="auto"/>
                <w:sz w:val="24"/>
                <w:szCs w:val="24"/>
                <w:highlight w:val="none"/>
                <w:vertAlign w:val="baseline"/>
                <w:lang w:val="en-US" w:eastAsia="zh-CN"/>
              </w:rPr>
              <w:t>*代表最关键指标，不满足该指标项将导致投标被拒绝</w:t>
            </w:r>
            <w:r>
              <w:rPr>
                <w:rFonts w:hint="eastAsia" w:ascii="宋体" w:hAnsi="宋体" w:cs="宋体"/>
                <w:b/>
                <w:bCs/>
                <w:color w:val="auto"/>
                <w:sz w:val="24"/>
                <w:szCs w:val="24"/>
                <w:highlight w:val="none"/>
                <w:vertAlign w:val="baseline"/>
                <w:lang w:val="en-US" w:eastAsia="zh-CN"/>
              </w:rPr>
              <w:t>。</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numPr>
                <w:ilvl w:val="0"/>
                <w:numId w:val="3"/>
              </w:numPr>
              <w:kinsoku/>
              <w:wordWrap/>
              <w:overflowPunct/>
              <w:topLinePunct w:val="0"/>
              <w:autoSpaceDE w:val="0"/>
              <w:autoSpaceDN w:val="0"/>
              <w:bidi w:val="0"/>
              <w:adjustRightInd/>
              <w:snapToGrid/>
              <w:spacing w:line="0" w:lineRule="atLeast"/>
              <w:ind w:left="0" w:leftChars="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按招标文件要求</w:t>
            </w:r>
            <w:r>
              <w:rPr>
                <w:rFonts w:hint="eastAsia" w:ascii="宋体" w:hAnsi="宋体" w:eastAsia="宋体" w:cs="宋体"/>
                <w:color w:val="auto"/>
                <w:sz w:val="24"/>
                <w:szCs w:val="24"/>
                <w:highlight w:val="none"/>
                <w:lang w:val="en-US" w:eastAsia="zh-CN"/>
              </w:rPr>
              <w:t>对技术</w:t>
            </w:r>
            <w:r>
              <w:rPr>
                <w:rFonts w:hint="eastAsia" w:ascii="宋体" w:hAnsi="宋体" w:cs="宋体"/>
                <w:color w:val="auto"/>
                <w:sz w:val="24"/>
                <w:szCs w:val="24"/>
                <w:highlight w:val="none"/>
                <w:lang w:val="en-US" w:eastAsia="zh-CN"/>
              </w:rPr>
              <w:t>需求</w:t>
            </w:r>
            <w:r>
              <w:rPr>
                <w:rFonts w:hint="eastAsia" w:ascii="宋体" w:hAnsi="宋体" w:eastAsia="宋体" w:cs="宋体"/>
                <w:color w:val="auto"/>
                <w:sz w:val="24"/>
                <w:szCs w:val="24"/>
                <w:highlight w:val="none"/>
              </w:rPr>
              <w:t>进行应答，投标人须如实根据所投产品信息填写“</w:t>
            </w:r>
            <w:r>
              <w:rPr>
                <w:rFonts w:hint="eastAsia" w:ascii="宋体" w:hAnsi="宋体" w:eastAsia="宋体" w:cs="宋体"/>
                <w:color w:val="auto"/>
                <w:sz w:val="24"/>
                <w:szCs w:val="24"/>
                <w:highlight w:val="none"/>
                <w:lang w:val="en-US" w:eastAsia="zh-CN"/>
              </w:rPr>
              <w:t>技术规格</w:t>
            </w:r>
            <w:r>
              <w:rPr>
                <w:rFonts w:hint="eastAsia" w:ascii="宋体" w:hAnsi="宋体" w:eastAsia="宋体" w:cs="宋体"/>
                <w:color w:val="auto"/>
                <w:sz w:val="24"/>
                <w:szCs w:val="24"/>
                <w:highlight w:val="none"/>
              </w:rPr>
              <w:t>偏离表”。</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leftChars="0"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vertAlign w:val="baseline"/>
                <w:lang w:val="en-US" w:eastAsia="zh-CN"/>
              </w:rPr>
              <w:t>*代表最关键指标，不满足该指标项将导致投标被拒绝</w:t>
            </w:r>
            <w:r>
              <w:rPr>
                <w:rFonts w:hint="eastAsia" w:ascii="宋体" w:hAnsi="宋体" w:eastAsia="宋体" w:cs="宋体"/>
                <w:color w:val="auto"/>
                <w:sz w:val="24"/>
                <w:szCs w:val="24"/>
                <w:highlight w:val="none"/>
              </w:rPr>
              <w:t>。</w:t>
            </w:r>
          </w:p>
          <w:p>
            <w:pPr>
              <w:pStyle w:val="2"/>
              <w:rPr>
                <w:rFonts w:hint="eastAsia"/>
                <w:highlight w:val="none"/>
              </w:rPr>
            </w:pPr>
            <w:r>
              <w:rPr>
                <w:rFonts w:hint="eastAsia" w:ascii="宋体" w:hAnsi="宋体" w:eastAsia="宋体" w:cs="宋体"/>
                <w:b/>
                <w:bCs/>
                <w:color w:val="auto"/>
                <w:sz w:val="24"/>
                <w:szCs w:val="24"/>
                <w:highlight w:val="none"/>
              </w:rPr>
              <w:t>投标人须对投标文件中技术参数响应的真实性负责，并承担相应的法律责任，采购人对产品送检后发现弄虚作假行为的，</w:t>
            </w:r>
            <w:r>
              <w:rPr>
                <w:rFonts w:hint="eastAsia" w:ascii="宋体" w:hAnsi="宋体" w:cs="宋体"/>
                <w:b/>
                <w:bCs/>
                <w:color w:val="auto"/>
                <w:sz w:val="24"/>
                <w:szCs w:val="24"/>
                <w:highlight w:val="none"/>
                <w:lang w:eastAsia="zh-CN"/>
              </w:rPr>
              <w:t>投标人</w:t>
            </w:r>
            <w:r>
              <w:rPr>
                <w:rFonts w:hint="eastAsia" w:ascii="宋体" w:hAnsi="宋体" w:eastAsia="宋体" w:cs="宋体"/>
                <w:b/>
                <w:bCs/>
                <w:color w:val="auto"/>
                <w:sz w:val="24"/>
                <w:szCs w:val="24"/>
                <w:highlight w:val="none"/>
              </w:rPr>
              <w:t>将被列入失信名单并报相关部门依法追究责任。</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numPr>
                <w:ilvl w:val="0"/>
                <w:numId w:val="3"/>
              </w:numPr>
              <w:kinsoku/>
              <w:wordWrap/>
              <w:overflowPunct/>
              <w:topLinePunct w:val="0"/>
              <w:autoSpaceDE w:val="0"/>
              <w:autoSpaceDN w:val="0"/>
              <w:bidi w:val="0"/>
              <w:adjustRightInd/>
              <w:snapToGrid/>
              <w:spacing w:line="0" w:lineRule="atLeast"/>
              <w:ind w:left="0" w:leftChars="0" w:right="0" w:firstLine="0" w:firstLineChars="0"/>
              <w:jc w:val="left"/>
              <w:textAlignment w:val="bottom"/>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投标文件内容符合招标文件的规定。</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7956"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结论</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303" w:hRule="atLeast"/>
          <w:jc w:val="center"/>
        </w:trPr>
        <w:tc>
          <w:tcPr>
            <w:tcW w:w="925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主任评委：</w:t>
            </w:r>
          </w:p>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其他评委：</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注：本表中符合评审内容要求的写“√”，不符合评审内容要求的写“×”。结论为“合格”或“不合格”。结论不合格的不进入综合评审阶段。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评标委员会发现有下列情形之一的，视为投标人串通投标，其投标无效：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（一）不同投标人的投标文件由同一单位或者个人编制；</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（二）不同投标人委托同一单位或者个人办理投标事宜；</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（五）不同投标人的投标文件相互混装；</w:t>
      </w:r>
    </w:p>
    <w:p>
      <w:pPr>
        <w:spacing w:line="360" w:lineRule="auto"/>
        <w:rPr>
          <w:rFonts w:hint="eastAsia" w:ascii="宋体" w:hAnsi="宋体" w:eastAsia="宋体" w:cs="宋体"/>
          <w:color w:val="auto"/>
          <w:sz w:val="24"/>
          <w:highlight w:val="none"/>
          <w:shd w:val="clear"/>
        </w:rPr>
      </w:pPr>
      <w:r>
        <w:rPr>
          <w:rFonts w:hint="eastAsia" w:ascii="宋体" w:hAnsi="宋体" w:eastAsia="宋体" w:cs="宋体"/>
          <w:color w:val="auto"/>
          <w:sz w:val="24"/>
          <w:highlight w:val="none"/>
          <w:shd w:val="clear"/>
        </w:rPr>
        <w:t>（六）不同投标人的投标保证金从同一单位或者个人的账户转出。</w:t>
      </w:r>
    </w:p>
    <w:p>
      <w:pPr>
        <w:spacing w:line="360" w:lineRule="auto"/>
        <w:ind w:firstLine="482"/>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注：经评标委员会评审合格投标商的家数不足三家，该项目废标，采购人有权委托采购代理机构重新组织招标。</w:t>
      </w:r>
    </w:p>
    <w:p>
      <w:p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.2澄清有关问题。</w:t>
      </w:r>
      <w:r>
        <w:rPr>
          <w:rFonts w:hint="eastAsia" w:ascii="宋体" w:hAnsi="宋体" w:eastAsia="宋体" w:cs="宋体"/>
          <w:color w:val="auto"/>
          <w:sz w:val="24"/>
          <w:highlight w:val="none"/>
        </w:rPr>
        <w:t>对投标文件中含义不明确、类似问题表述不一致或者有明显文字和计算错误的内容，评标委员会可以书面形式要求投标人做出必要的澄清、说明或者纠正。投标人的澄清、说明或者补正不得超出投标文件的范围或者改变投标文件的实质性内容。</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.2.1评标委员会将允许修正投标文件中不构成重大偏离的细微偏离，但这些修正应不会对实质上响应招标文件要求的投标人的竞争地位（相互排序）产生不公正的影响。</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2.2投标文件报价出现前后不一致的，除招标文件另有规定外，按照下列规定修正：（一）投标文件中开标一览表（报价表）内容与投标文件中相应内容不一致的，以开标一览表（报价表）为准；（二）大写金额和小写金额不一致的，以大写金额为准；（三）单价金额小数点或者百分比有明显错位的，以开标一览表的总价为准，并修改单价；（四）总价金额与按单价汇总金额不一致的，以单价金额计算结果为准。同时出现两种以上不一致的，按照规定的顺序修正。修正后的报价经投标人确认后产生约束力，投标人不确认的，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19"/>
        <w:spacing w:beforeAutospacing="0" w:afterAutospacing="0" w:line="360" w:lineRule="auto"/>
        <w:jc w:val="both"/>
        <w:rPr>
          <w:rFonts w:hint="eastAsia" w:ascii="宋体" w:hAnsi="宋体" w:eastAsia="宋体" w:cs="宋体"/>
          <w:b/>
          <w:bCs/>
          <w:color w:val="auto"/>
          <w:kern w:val="2"/>
          <w:highlight w:val="none"/>
        </w:rPr>
      </w:pPr>
      <w:r>
        <w:rPr>
          <w:rFonts w:hint="eastAsia" w:ascii="宋体" w:hAnsi="宋体" w:eastAsia="宋体" w:cs="宋体"/>
          <w:b/>
          <w:bCs/>
          <w:color w:val="auto"/>
          <w:kern w:val="2"/>
          <w:highlight w:val="none"/>
          <w:lang w:val="en-US" w:eastAsia="zh-CN"/>
        </w:rPr>
        <w:t>3</w:t>
      </w:r>
      <w:r>
        <w:rPr>
          <w:rFonts w:hint="eastAsia" w:ascii="宋体" w:hAnsi="宋体" w:eastAsia="宋体" w:cs="宋体"/>
          <w:b/>
          <w:bCs/>
          <w:color w:val="auto"/>
          <w:kern w:val="2"/>
          <w:highlight w:val="none"/>
        </w:rPr>
        <w:t>.3评标委员会应当按照招标文件中规定的评标方法和标准，对符合性审查合格的投标文件进行商务和技术评估，综合比较与评价。</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 本项目采用综合评分法评标，评标委员会将按下述标准评定中标人：独立对每个投标人的投标文件进行评价，并汇总每个投标人的得分。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采取随机抽取方式确定，其他同品牌投标人不作为中标候选人。</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非单一产品采购项目，采购人根据采购项目技术构成、产品价格比重等合理确定核心产品，并在招标文件第五章中载明。多家投标人提供的核心产品品牌相同的，按前款规定处理。</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.3.1.1综合评分法评分方法（计算结果精确到小数点后两位）：</w:t>
      </w:r>
    </w:p>
    <w:tbl>
      <w:tblPr>
        <w:tblStyle w:val="25"/>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902"/>
        <w:gridCol w:w="7474"/>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41" w:type="dxa"/>
            <w:vAlign w:val="center"/>
          </w:tcPr>
          <w:p>
            <w:pPr>
              <w:jc w:val="center"/>
              <w:rPr>
                <w:rFonts w:hint="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评分项</w:t>
            </w:r>
          </w:p>
        </w:tc>
        <w:tc>
          <w:tcPr>
            <w:tcW w:w="902" w:type="dxa"/>
            <w:vAlign w:val="center"/>
          </w:tcPr>
          <w:p>
            <w:pPr>
              <w:jc w:val="center"/>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名称</w:t>
            </w:r>
          </w:p>
        </w:tc>
        <w:tc>
          <w:tcPr>
            <w:tcW w:w="7474" w:type="dxa"/>
            <w:vAlign w:val="center"/>
          </w:tcPr>
          <w:p>
            <w:pPr>
              <w:jc w:val="left"/>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评分标准（同一指标不得重复打分，*</w:t>
            </w:r>
            <w:r>
              <w:rPr>
                <w:rFonts w:hint="eastAsia" w:ascii="宋体" w:hAnsi="宋体" w:eastAsia="宋体" w:cs="宋体"/>
                <w:color w:val="auto"/>
                <w:sz w:val="24"/>
                <w:szCs w:val="24"/>
                <w:highlight w:val="none"/>
                <w:vertAlign w:val="baseline"/>
                <w:lang w:val="en-US" w:eastAsia="zh-CN"/>
              </w:rPr>
              <w:t>代表实质性指标，不满足该指标项将导致投标被拒绝</w:t>
            </w:r>
            <w:r>
              <w:rPr>
                <w:rFonts w:hint="eastAsia"/>
                <w:color w:val="auto"/>
                <w:sz w:val="24"/>
                <w:szCs w:val="24"/>
                <w:highlight w:val="none"/>
                <w:vertAlign w:val="baseline"/>
                <w:lang w:val="en-US" w:eastAsia="zh-CN"/>
              </w:rPr>
              <w:t>）</w:t>
            </w:r>
          </w:p>
        </w:tc>
        <w:tc>
          <w:tcPr>
            <w:tcW w:w="822" w:type="dxa"/>
            <w:vAlign w:val="center"/>
          </w:tcPr>
          <w:p>
            <w:pPr>
              <w:jc w:val="center"/>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分值范围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841" w:type="dxa"/>
            <w:vAlign w:val="center"/>
          </w:tcPr>
          <w:p>
            <w:pPr>
              <w:jc w:val="center"/>
              <w:rPr>
                <w:rFonts w:hint="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价格评审指标</w:t>
            </w:r>
          </w:p>
        </w:tc>
        <w:tc>
          <w:tcPr>
            <w:tcW w:w="902" w:type="dxa"/>
            <w:vAlign w:val="center"/>
          </w:tcPr>
          <w:p>
            <w:pPr>
              <w:keepNext w:val="0"/>
              <w:keepLines w:val="0"/>
              <w:pageBreakBefore w:val="0"/>
              <w:widowControl/>
              <w:kinsoku/>
              <w:wordWrap/>
              <w:overflowPunct/>
              <w:topLinePunct w:val="0"/>
              <w:autoSpaceDE/>
              <w:autoSpaceDN/>
              <w:bidi w:val="0"/>
              <w:snapToGrid w:val="0"/>
              <w:spacing w:line="30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w:t>
            </w:r>
          </w:p>
          <w:p>
            <w:pPr>
              <w:jc w:val="center"/>
              <w:rPr>
                <w:rFonts w:hint="eastAsia" w:eastAsiaTheme="minorEastAsia"/>
                <w:color w:val="auto"/>
                <w:sz w:val="24"/>
                <w:szCs w:val="24"/>
                <w:highlight w:val="none"/>
                <w:vertAlign w:val="baseline"/>
                <w:lang w:val="en-US" w:eastAsia="zh-CN"/>
              </w:rPr>
            </w:pPr>
            <w:r>
              <w:rPr>
                <w:rFonts w:hint="eastAsia" w:ascii="宋体" w:hAnsi="宋体" w:eastAsia="宋体" w:cs="宋体"/>
                <w:color w:val="auto"/>
                <w:kern w:val="0"/>
                <w:sz w:val="24"/>
                <w:szCs w:val="24"/>
                <w:highlight w:val="none"/>
              </w:rPr>
              <w:t>报价</w:t>
            </w:r>
          </w:p>
        </w:tc>
        <w:tc>
          <w:tcPr>
            <w:tcW w:w="7474" w:type="dxa"/>
            <w:vAlign w:val="center"/>
          </w:tcPr>
          <w:p>
            <w:pPr>
              <w:jc w:val="left"/>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通过资格及符合性审查且投标价格最低的投标报价为评标基准价，其价格分为满分。其他投标人的价格分统一按照下列公式计算（保留两位小数）：投标报价得分=（评标基准价/投标报价）×30%×100</w:t>
            </w:r>
          </w:p>
        </w:tc>
        <w:tc>
          <w:tcPr>
            <w:tcW w:w="822" w:type="dxa"/>
            <w:vAlign w:val="center"/>
          </w:tcPr>
          <w:p>
            <w:pPr>
              <w:jc w:val="center"/>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841" w:type="dxa"/>
            <w:vMerge w:val="restart"/>
            <w:vAlign w:val="center"/>
          </w:tcPr>
          <w:p>
            <w:pPr>
              <w:jc w:val="center"/>
              <w:rPr>
                <w:rFonts w:hint="default" w:eastAsiaTheme="minorEastAsia"/>
                <w:color w:val="auto"/>
                <w:sz w:val="24"/>
                <w:szCs w:val="24"/>
                <w:highlight w:val="none"/>
                <w:vertAlign w:val="baseline"/>
                <w:lang w:val="en-US" w:eastAsia="zh-CN"/>
              </w:rPr>
            </w:pPr>
            <w:r>
              <w:rPr>
                <w:rFonts w:hint="eastAsia" w:eastAsiaTheme="minorEastAsia"/>
                <w:color w:val="auto"/>
                <w:sz w:val="24"/>
                <w:szCs w:val="24"/>
                <w:highlight w:val="none"/>
                <w:vertAlign w:val="baseline"/>
                <w:lang w:val="en-US" w:eastAsia="zh-CN"/>
              </w:rPr>
              <w:t>企业实力</w:t>
            </w:r>
          </w:p>
        </w:tc>
        <w:tc>
          <w:tcPr>
            <w:tcW w:w="902" w:type="dxa"/>
            <w:vAlign w:val="center"/>
          </w:tcPr>
          <w:p>
            <w:pPr>
              <w:jc w:val="center"/>
              <w:rPr>
                <w:rFonts w:hint="eastAsia" w:eastAsiaTheme="minorEastAsia"/>
                <w:color w:val="auto"/>
                <w:sz w:val="24"/>
                <w:szCs w:val="24"/>
                <w:highlight w:val="none"/>
                <w:vertAlign w:val="baseline"/>
                <w:lang w:val="en-US" w:eastAsia="zh-CN"/>
              </w:rPr>
            </w:pPr>
            <w:r>
              <w:rPr>
                <w:rFonts w:hint="eastAsia" w:eastAsia="宋体" w:cs="Times New Roman"/>
                <w:color w:val="auto"/>
                <w:sz w:val="24"/>
                <w:szCs w:val="24"/>
                <w:highlight w:val="none"/>
                <w:vertAlign w:val="baseline"/>
                <w:lang w:val="en-US" w:eastAsia="zh-CN"/>
              </w:rPr>
              <w:t>业绩</w:t>
            </w:r>
          </w:p>
        </w:tc>
        <w:tc>
          <w:tcPr>
            <w:tcW w:w="7474" w:type="dxa"/>
            <w:vAlign w:val="center"/>
          </w:tcPr>
          <w:p>
            <w:pPr>
              <w:keepNext w:val="0"/>
              <w:keepLines w:val="0"/>
              <w:pageBreakBefore w:val="0"/>
              <w:kinsoku/>
              <w:wordWrap/>
              <w:overflowPunct/>
              <w:topLinePunct w:val="0"/>
              <w:autoSpaceDE/>
              <w:autoSpaceDN/>
              <w:bidi w:val="0"/>
              <w:snapToGrid w:val="0"/>
              <w:spacing w:line="300" w:lineRule="auto"/>
              <w:jc w:val="left"/>
              <w:textAlignment w:val="auto"/>
              <w:rPr>
                <w:rFonts w:ascii="宋体" w:hAnsi="宋体" w:cs="宋体"/>
                <w:color w:val="auto"/>
                <w:sz w:val="24"/>
                <w:szCs w:val="24"/>
                <w:highlight w:val="none"/>
              </w:rPr>
            </w:pPr>
            <w:r>
              <w:rPr>
                <w:rFonts w:hint="eastAsia" w:eastAsia="宋体" w:cs="Times New Roman"/>
                <w:color w:val="auto"/>
                <w:sz w:val="24"/>
                <w:szCs w:val="24"/>
                <w:highlight w:val="none"/>
                <w:vertAlign w:val="baseline"/>
                <w:lang w:val="en-US" w:eastAsia="zh-CN"/>
              </w:rPr>
              <w:t>2021年1月1日至今投标</w:t>
            </w:r>
            <w:r>
              <w:rPr>
                <w:rFonts w:hint="eastAsia" w:cs="Times New Roman"/>
                <w:color w:val="auto"/>
                <w:sz w:val="24"/>
                <w:szCs w:val="24"/>
                <w:highlight w:val="none"/>
                <w:vertAlign w:val="baseline"/>
                <w:lang w:val="en-US" w:eastAsia="zh-CN"/>
              </w:rPr>
              <w:t>人或制造商的</w:t>
            </w:r>
            <w:r>
              <w:rPr>
                <w:rFonts w:hint="eastAsia" w:cs="Times New Roman"/>
                <w:b/>
                <w:bCs/>
                <w:color w:val="auto"/>
                <w:sz w:val="24"/>
                <w:szCs w:val="24"/>
                <w:highlight w:val="none"/>
                <w:vertAlign w:val="baseline"/>
                <w:lang w:val="en-US" w:eastAsia="zh-CN"/>
              </w:rPr>
              <w:t>所投产品</w:t>
            </w:r>
            <w:r>
              <w:rPr>
                <w:rFonts w:hint="eastAsia" w:cs="Times New Roman"/>
                <w:color w:val="auto"/>
                <w:sz w:val="24"/>
                <w:szCs w:val="24"/>
                <w:highlight w:val="none"/>
                <w:vertAlign w:val="baseline"/>
                <w:lang w:val="en-US" w:eastAsia="zh-CN"/>
              </w:rPr>
              <w:t>的</w:t>
            </w:r>
            <w:r>
              <w:rPr>
                <w:rFonts w:hint="eastAsia" w:eastAsia="宋体" w:cs="Times New Roman"/>
                <w:color w:val="auto"/>
                <w:sz w:val="24"/>
                <w:szCs w:val="24"/>
                <w:highlight w:val="none"/>
                <w:vertAlign w:val="baseline"/>
                <w:lang w:val="en-US" w:eastAsia="zh-CN"/>
              </w:rPr>
              <w:t>业绩，每提供一项得1分，最高得</w:t>
            </w:r>
            <w:r>
              <w:rPr>
                <w:rFonts w:hint="eastAsia" w:cs="Times New Roman"/>
                <w:color w:val="auto"/>
                <w:sz w:val="24"/>
                <w:szCs w:val="24"/>
                <w:highlight w:val="none"/>
                <w:vertAlign w:val="baseline"/>
                <w:lang w:val="en-US" w:eastAsia="zh-CN"/>
              </w:rPr>
              <w:t>5</w:t>
            </w:r>
            <w:r>
              <w:rPr>
                <w:rFonts w:hint="eastAsia" w:eastAsia="宋体" w:cs="Times New Roman"/>
                <w:color w:val="auto"/>
                <w:sz w:val="24"/>
                <w:szCs w:val="24"/>
                <w:highlight w:val="none"/>
                <w:vertAlign w:val="baseline"/>
                <w:lang w:val="en-US" w:eastAsia="zh-CN"/>
              </w:rPr>
              <w:t>分。</w:t>
            </w:r>
            <w:r>
              <w:rPr>
                <w:rFonts w:hint="eastAsia" w:ascii="宋体" w:hAnsi="宋体" w:cs="宋体"/>
                <w:color w:val="auto"/>
                <w:sz w:val="24"/>
                <w:szCs w:val="24"/>
                <w:highlight w:val="none"/>
              </w:rPr>
              <w:t>每份业绩的证明材料须齐全，否则该份业绩不予计分。</w:t>
            </w:r>
          </w:p>
          <w:p>
            <w:pPr>
              <w:jc w:val="left"/>
              <w:rPr>
                <w:rFonts w:hint="eastAsia" w:eastAsia="宋体" w:cs="Times New Roman"/>
                <w:b/>
                <w:bCs/>
                <w:color w:val="auto"/>
                <w:sz w:val="24"/>
                <w:szCs w:val="24"/>
                <w:highlight w:val="none"/>
                <w:vertAlign w:val="baseline"/>
                <w:lang w:val="en-US" w:eastAsia="zh-CN"/>
              </w:rPr>
            </w:pPr>
            <w:r>
              <w:rPr>
                <w:rFonts w:hint="eastAsia" w:eastAsia="宋体" w:cs="Times New Roman"/>
                <w:color w:val="auto"/>
                <w:sz w:val="24"/>
                <w:szCs w:val="24"/>
                <w:highlight w:val="none"/>
                <w:vertAlign w:val="baseline"/>
                <w:lang w:val="en-US" w:eastAsia="zh-CN"/>
              </w:rPr>
              <w:t>评分依据：</w:t>
            </w:r>
            <w:r>
              <w:rPr>
                <w:rFonts w:hint="eastAsia" w:ascii="宋体" w:hAnsi="宋体" w:cs="宋体"/>
                <w:color w:val="auto"/>
                <w:sz w:val="24"/>
                <w:szCs w:val="24"/>
                <w:highlight w:val="none"/>
              </w:rPr>
              <w:t>投标人</w:t>
            </w:r>
            <w:r>
              <w:rPr>
                <w:rFonts w:hint="eastAsia" w:cs="Times New Roman"/>
                <w:color w:val="auto"/>
                <w:sz w:val="24"/>
                <w:szCs w:val="24"/>
                <w:highlight w:val="none"/>
                <w:vertAlign w:val="baseline"/>
                <w:lang w:val="en-US" w:eastAsia="zh-CN"/>
              </w:rPr>
              <w:t>或制造商</w:t>
            </w:r>
            <w:r>
              <w:rPr>
                <w:rFonts w:hint="eastAsia" w:ascii="宋体" w:hAnsi="宋体" w:cs="宋体"/>
                <w:color w:val="auto"/>
                <w:sz w:val="24"/>
                <w:szCs w:val="24"/>
                <w:highlight w:val="none"/>
              </w:rPr>
              <w:t>需提供每份业绩的</w:t>
            </w:r>
            <w:r>
              <w:rPr>
                <w:rFonts w:hint="eastAsia" w:ascii="宋体" w:hAnsi="宋体" w:cs="宋体"/>
                <w:b/>
                <w:bCs/>
                <w:color w:val="auto"/>
                <w:sz w:val="24"/>
                <w:szCs w:val="24"/>
                <w:highlight w:val="none"/>
                <w:lang w:val="en-US" w:eastAsia="zh-CN"/>
              </w:rPr>
              <w:t>中标通知书、</w:t>
            </w:r>
            <w:r>
              <w:rPr>
                <w:rFonts w:hint="eastAsia" w:ascii="宋体" w:hAnsi="宋体" w:cs="宋体"/>
                <w:b/>
                <w:bCs/>
                <w:color w:val="auto"/>
                <w:sz w:val="24"/>
                <w:szCs w:val="24"/>
                <w:highlight w:val="none"/>
              </w:rPr>
              <w:t>销售合同</w:t>
            </w:r>
            <w:r>
              <w:rPr>
                <w:rFonts w:hint="eastAsia" w:ascii="方正仿宋_GBK" w:hAnsi="方正仿宋_GBK"/>
                <w:color w:val="auto"/>
                <w:sz w:val="24"/>
                <w:szCs w:val="24"/>
                <w:highlight w:val="none"/>
                <w:lang w:val="en-US" w:eastAsia="zh-CN"/>
              </w:rPr>
              <w:t>、</w:t>
            </w:r>
            <w:r>
              <w:rPr>
                <w:rFonts w:hint="eastAsia" w:ascii="宋体" w:hAnsi="宋体" w:cs="宋体"/>
                <w:b/>
                <w:bCs/>
                <w:color w:val="auto"/>
                <w:sz w:val="24"/>
                <w:szCs w:val="24"/>
                <w:highlight w:val="none"/>
                <w:lang w:val="en-US" w:eastAsia="zh-CN"/>
              </w:rPr>
              <w:t>发票、</w:t>
            </w:r>
            <w:r>
              <w:rPr>
                <w:rFonts w:hint="eastAsia" w:ascii="宋体" w:hAnsi="宋体" w:cs="宋体"/>
                <w:b/>
                <w:bCs/>
                <w:color w:val="auto"/>
                <w:sz w:val="24"/>
                <w:szCs w:val="24"/>
                <w:highlight w:val="none"/>
                <w:lang w:eastAsia="zh-CN"/>
              </w:rPr>
              <w:t>验收合格证明、</w:t>
            </w:r>
            <w:r>
              <w:rPr>
                <w:rFonts w:hint="eastAsia" w:ascii="宋体" w:hAnsi="宋体" w:cs="宋体"/>
                <w:b/>
                <w:bCs/>
                <w:color w:val="auto"/>
                <w:sz w:val="24"/>
                <w:szCs w:val="24"/>
                <w:highlight w:val="none"/>
                <w:lang w:val="en-US" w:eastAsia="zh-CN"/>
              </w:rPr>
              <w:t>中标结果公示在网站发布的截图</w:t>
            </w:r>
            <w:r>
              <w:rPr>
                <w:rFonts w:hint="eastAsia" w:ascii="宋体" w:hAnsi="宋体" w:cs="宋体"/>
                <w:color w:val="auto"/>
                <w:sz w:val="24"/>
                <w:szCs w:val="24"/>
                <w:highlight w:val="none"/>
              </w:rPr>
              <w:t>的复印件加盖公章。</w:t>
            </w:r>
          </w:p>
          <w:p>
            <w:pPr>
              <w:pStyle w:val="8"/>
              <w:rPr>
                <w:rFonts w:hint="eastAsia" w:eastAsia="宋体" w:cs="Times New Roman"/>
                <w:color w:val="auto"/>
                <w:sz w:val="24"/>
                <w:szCs w:val="24"/>
                <w:highlight w:val="none"/>
                <w:vertAlign w:val="baseline"/>
                <w:lang w:val="en-US" w:eastAsia="zh-CN"/>
              </w:rPr>
            </w:pPr>
            <w:r>
              <w:rPr>
                <w:rFonts w:hint="eastAsia" w:eastAsia="宋体" w:cs="Times New Roman"/>
                <w:color w:val="auto"/>
                <w:sz w:val="24"/>
                <w:szCs w:val="24"/>
                <w:highlight w:val="none"/>
                <w:vertAlign w:val="baseline"/>
                <w:lang w:val="en-US" w:eastAsia="zh-CN"/>
              </w:rPr>
              <w:t>注：如业绩为集采项目，提供同一中标通知书</w:t>
            </w:r>
            <w:r>
              <w:rPr>
                <w:rFonts w:hint="eastAsia" w:cs="Times New Roman"/>
                <w:color w:val="auto"/>
                <w:sz w:val="24"/>
                <w:szCs w:val="24"/>
                <w:highlight w:val="none"/>
                <w:vertAlign w:val="baseline"/>
                <w:lang w:val="en-US" w:eastAsia="zh-CN"/>
              </w:rPr>
              <w:t>、</w:t>
            </w:r>
            <w:r>
              <w:rPr>
                <w:rFonts w:hint="eastAsia" w:eastAsia="宋体" w:cs="Times New Roman"/>
                <w:color w:val="auto"/>
                <w:sz w:val="24"/>
                <w:szCs w:val="24"/>
                <w:highlight w:val="none"/>
                <w:vertAlign w:val="baseline"/>
                <w:lang w:val="en-US" w:eastAsia="zh-CN"/>
              </w:rPr>
              <w:t>分项合同</w:t>
            </w:r>
            <w:r>
              <w:rPr>
                <w:rFonts w:hint="eastAsia" w:cs="Times New Roman"/>
                <w:color w:val="auto"/>
                <w:sz w:val="24"/>
                <w:szCs w:val="24"/>
                <w:highlight w:val="none"/>
                <w:vertAlign w:val="baseline"/>
                <w:lang w:val="en-US" w:eastAsia="zh-CN"/>
              </w:rPr>
              <w:t>及</w:t>
            </w:r>
            <w:r>
              <w:rPr>
                <w:rFonts w:hint="eastAsia"/>
                <w:color w:val="auto"/>
                <w:sz w:val="24"/>
                <w:szCs w:val="24"/>
                <w:highlight w:val="none"/>
                <w:lang w:eastAsia="zh-CN"/>
              </w:rPr>
              <w:t>以上证明材料</w:t>
            </w:r>
            <w:r>
              <w:rPr>
                <w:rFonts w:hint="eastAsia" w:eastAsia="宋体" w:cs="Times New Roman"/>
                <w:color w:val="auto"/>
                <w:sz w:val="24"/>
                <w:szCs w:val="24"/>
                <w:highlight w:val="none"/>
                <w:vertAlign w:val="baseline"/>
                <w:lang w:val="en-US" w:eastAsia="zh-CN"/>
              </w:rPr>
              <w:t>，业绩仅计为1项。</w:t>
            </w:r>
          </w:p>
        </w:tc>
        <w:tc>
          <w:tcPr>
            <w:tcW w:w="822" w:type="dxa"/>
            <w:vAlign w:val="center"/>
          </w:tcPr>
          <w:p>
            <w:pPr>
              <w:jc w:val="center"/>
              <w:rPr>
                <w:rFonts w:hint="eastAsia" w:eastAsiaTheme="minorEastAsia"/>
                <w:color w:val="auto"/>
                <w:sz w:val="24"/>
                <w:szCs w:val="24"/>
                <w:highlight w:val="none"/>
                <w:vertAlign w:val="baseline"/>
                <w:lang w:val="en-US" w:eastAsia="zh-CN"/>
              </w:rPr>
            </w:pPr>
            <w:r>
              <w:rPr>
                <w:rFonts w:hint="eastAsia" w:eastAsiaTheme="minorEastAsia"/>
                <w:color w:val="auto"/>
                <w:sz w:val="24"/>
                <w:szCs w:val="24"/>
                <w:highlight w:val="none"/>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841" w:type="dxa"/>
            <w:vMerge w:val="continue"/>
            <w:vAlign w:val="center"/>
          </w:tcPr>
          <w:p>
            <w:pPr>
              <w:jc w:val="center"/>
              <w:rPr>
                <w:rFonts w:hint="eastAsia" w:eastAsiaTheme="minorEastAsia"/>
                <w:color w:val="auto"/>
                <w:sz w:val="24"/>
                <w:szCs w:val="24"/>
                <w:highlight w:val="none"/>
                <w:vertAlign w:val="baseline"/>
                <w:lang w:val="en-US" w:eastAsia="zh-CN"/>
              </w:rPr>
            </w:pPr>
          </w:p>
        </w:tc>
        <w:tc>
          <w:tcPr>
            <w:tcW w:w="902" w:type="dxa"/>
            <w:vMerge w:val="restart"/>
            <w:vAlign w:val="center"/>
          </w:tcPr>
          <w:p>
            <w:pPr>
              <w:snapToGrid w:val="0"/>
              <w:spacing w:line="300" w:lineRule="auto"/>
              <w:jc w:val="center"/>
              <w:rPr>
                <w:color w:val="auto"/>
                <w:sz w:val="24"/>
                <w:highlight w:val="none"/>
              </w:rPr>
            </w:pPr>
            <w:r>
              <w:rPr>
                <w:rFonts w:hint="eastAsia"/>
                <w:color w:val="auto"/>
                <w:sz w:val="24"/>
                <w:highlight w:val="none"/>
              </w:rPr>
              <w:t xml:space="preserve">所投产品的制造商的专业 </w:t>
            </w:r>
          </w:p>
          <w:p>
            <w:pPr>
              <w:snapToGrid w:val="0"/>
              <w:spacing w:line="300" w:lineRule="auto"/>
              <w:jc w:val="center"/>
              <w:rPr>
                <w:rFonts w:hint="eastAsia" w:eastAsia="宋体" w:cs="Times New Roman"/>
                <w:color w:val="auto"/>
                <w:sz w:val="24"/>
                <w:szCs w:val="24"/>
                <w:highlight w:val="none"/>
                <w:vertAlign w:val="baseline"/>
                <w:lang w:val="en-US" w:eastAsia="zh-CN"/>
              </w:rPr>
            </w:pPr>
            <w:r>
              <w:rPr>
                <w:rFonts w:hint="eastAsia"/>
                <w:color w:val="auto"/>
                <w:sz w:val="24"/>
                <w:highlight w:val="none"/>
              </w:rPr>
              <w:t>技术生产能力</w:t>
            </w:r>
          </w:p>
        </w:tc>
        <w:tc>
          <w:tcPr>
            <w:tcW w:w="7474" w:type="dxa"/>
            <w:vAlign w:val="center"/>
          </w:tcPr>
          <w:p>
            <w:pPr>
              <w:snapToGrid w:val="0"/>
              <w:spacing w:line="300" w:lineRule="auto"/>
              <w:jc w:val="left"/>
              <w:rPr>
                <w:color w:val="auto"/>
                <w:sz w:val="24"/>
                <w:highlight w:val="none"/>
              </w:rPr>
            </w:pPr>
            <w:r>
              <w:rPr>
                <w:rFonts w:hint="eastAsia"/>
                <w:color w:val="auto"/>
                <w:sz w:val="24"/>
                <w:highlight w:val="none"/>
              </w:rPr>
              <w:t>根据以下内容进行综合评审：</w:t>
            </w:r>
          </w:p>
          <w:p>
            <w:pPr>
              <w:snapToGrid w:val="0"/>
              <w:spacing w:line="300" w:lineRule="auto"/>
              <w:jc w:val="left"/>
              <w:rPr>
                <w:color w:val="auto"/>
                <w:sz w:val="24"/>
                <w:highlight w:val="none"/>
              </w:rPr>
            </w:pPr>
            <w:r>
              <w:rPr>
                <w:rFonts w:hint="eastAsia"/>
                <w:color w:val="auto"/>
                <w:sz w:val="24"/>
                <w:highlight w:val="none"/>
              </w:rPr>
              <w:t>①自主研发能力、产品设计、加工设备、生产工艺；</w:t>
            </w:r>
          </w:p>
          <w:p>
            <w:pPr>
              <w:snapToGrid w:val="0"/>
              <w:spacing w:line="300" w:lineRule="auto"/>
              <w:jc w:val="left"/>
              <w:rPr>
                <w:rFonts w:hint="eastAsia" w:eastAsia="宋体" w:cs="Times New Roman"/>
                <w:color w:val="auto"/>
                <w:sz w:val="24"/>
                <w:szCs w:val="24"/>
                <w:highlight w:val="none"/>
                <w:vertAlign w:val="baseline"/>
                <w:lang w:val="en-US" w:eastAsia="zh-CN"/>
              </w:rPr>
            </w:pPr>
            <w:r>
              <w:rPr>
                <w:rFonts w:hint="eastAsia"/>
                <w:color w:val="auto"/>
                <w:sz w:val="24"/>
                <w:highlight w:val="none"/>
              </w:rPr>
              <w:t>提供的方案完全满足且优于本项目需求得2分；内容</w:t>
            </w:r>
            <w:r>
              <w:rPr>
                <w:rFonts w:hint="eastAsia"/>
                <w:color w:val="auto"/>
                <w:sz w:val="24"/>
                <w:highlight w:val="none"/>
                <w:lang w:val="en-US" w:eastAsia="zh-CN"/>
              </w:rPr>
              <w:t>完整</w:t>
            </w:r>
            <w:r>
              <w:rPr>
                <w:rFonts w:hint="eastAsia"/>
                <w:color w:val="auto"/>
                <w:sz w:val="24"/>
                <w:highlight w:val="none"/>
              </w:rPr>
              <w:t>与本项目相符得 1分；所提供的内容有缺失的得0.5分，不满足项目需求或未提供得0分。</w:t>
            </w:r>
          </w:p>
        </w:tc>
        <w:tc>
          <w:tcPr>
            <w:tcW w:w="822" w:type="dxa"/>
            <w:vAlign w:val="center"/>
          </w:tcPr>
          <w:p>
            <w:pPr>
              <w:jc w:val="center"/>
              <w:rPr>
                <w:rFonts w:hint="eastAsia" w:eastAsiaTheme="minorEastAsia"/>
                <w:color w:val="auto"/>
                <w:sz w:val="24"/>
                <w:szCs w:val="24"/>
                <w:highlight w:val="none"/>
                <w:vertAlign w:val="baseline"/>
                <w:lang w:val="en-US" w:eastAsia="zh-CN"/>
              </w:rPr>
            </w:pPr>
            <w:r>
              <w:rPr>
                <w:rFonts w:hint="eastAsia" w:eastAsiaTheme="minorEastAsia"/>
                <w:color w:val="auto"/>
                <w:sz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841" w:type="dxa"/>
            <w:vMerge w:val="continue"/>
            <w:vAlign w:val="center"/>
          </w:tcPr>
          <w:p>
            <w:pPr>
              <w:jc w:val="center"/>
              <w:rPr>
                <w:rFonts w:hint="eastAsia" w:eastAsiaTheme="minorEastAsia"/>
                <w:color w:val="auto"/>
                <w:sz w:val="24"/>
                <w:szCs w:val="24"/>
                <w:highlight w:val="none"/>
                <w:vertAlign w:val="baseline"/>
                <w:lang w:val="en-US" w:eastAsia="zh-CN"/>
              </w:rPr>
            </w:pPr>
          </w:p>
        </w:tc>
        <w:tc>
          <w:tcPr>
            <w:tcW w:w="902" w:type="dxa"/>
            <w:vMerge w:val="continue"/>
            <w:vAlign w:val="center"/>
          </w:tcPr>
          <w:p>
            <w:pPr>
              <w:snapToGrid w:val="0"/>
              <w:spacing w:line="300" w:lineRule="auto"/>
              <w:jc w:val="center"/>
              <w:rPr>
                <w:rFonts w:hint="eastAsia" w:eastAsia="宋体" w:cs="Times New Roman"/>
                <w:color w:val="auto"/>
                <w:sz w:val="24"/>
                <w:szCs w:val="24"/>
                <w:highlight w:val="none"/>
                <w:vertAlign w:val="baseline"/>
                <w:lang w:val="en-US" w:eastAsia="zh-CN"/>
              </w:rPr>
            </w:pPr>
          </w:p>
        </w:tc>
        <w:tc>
          <w:tcPr>
            <w:tcW w:w="7474" w:type="dxa"/>
            <w:vAlign w:val="center"/>
          </w:tcPr>
          <w:p>
            <w:pPr>
              <w:snapToGrid w:val="0"/>
              <w:spacing w:line="300" w:lineRule="auto"/>
              <w:jc w:val="left"/>
              <w:rPr>
                <w:color w:val="auto"/>
                <w:sz w:val="24"/>
                <w:highlight w:val="none"/>
              </w:rPr>
            </w:pPr>
            <w:r>
              <w:rPr>
                <w:rFonts w:hint="eastAsia"/>
                <w:color w:val="auto"/>
                <w:sz w:val="24"/>
                <w:highlight w:val="none"/>
              </w:rPr>
              <w:t>②生产车间环境以及详细的实际生产情况、产品检验及产品质量控制；</w:t>
            </w:r>
          </w:p>
          <w:p>
            <w:pPr>
              <w:snapToGrid w:val="0"/>
              <w:spacing w:line="300" w:lineRule="auto"/>
              <w:jc w:val="left"/>
              <w:rPr>
                <w:rFonts w:hint="eastAsia" w:eastAsia="宋体" w:cs="Times New Roman"/>
                <w:color w:val="auto"/>
                <w:sz w:val="24"/>
                <w:szCs w:val="24"/>
                <w:highlight w:val="none"/>
                <w:vertAlign w:val="baseline"/>
                <w:lang w:val="en-US" w:eastAsia="zh-CN"/>
              </w:rPr>
            </w:pPr>
            <w:r>
              <w:rPr>
                <w:rFonts w:hint="eastAsia"/>
                <w:color w:val="auto"/>
                <w:sz w:val="24"/>
                <w:highlight w:val="none"/>
              </w:rPr>
              <w:t>提供的方案完全满足且优于本项目需求得2分；内容</w:t>
            </w:r>
            <w:r>
              <w:rPr>
                <w:rFonts w:hint="eastAsia"/>
                <w:color w:val="auto"/>
                <w:sz w:val="24"/>
                <w:highlight w:val="none"/>
                <w:lang w:val="en-US" w:eastAsia="zh-CN"/>
              </w:rPr>
              <w:t>完整</w:t>
            </w:r>
            <w:r>
              <w:rPr>
                <w:rFonts w:hint="eastAsia"/>
                <w:color w:val="auto"/>
                <w:sz w:val="24"/>
                <w:highlight w:val="none"/>
              </w:rPr>
              <w:t>与本项目相符得 1分；所提供的内容有缺失的得0.5分，不满足项目需求或未提供得0分。</w:t>
            </w:r>
          </w:p>
        </w:tc>
        <w:tc>
          <w:tcPr>
            <w:tcW w:w="822" w:type="dxa"/>
            <w:vAlign w:val="center"/>
          </w:tcPr>
          <w:p>
            <w:pPr>
              <w:jc w:val="center"/>
              <w:rPr>
                <w:rFonts w:hint="eastAsia" w:eastAsiaTheme="minorEastAsia"/>
                <w:color w:val="auto"/>
                <w:sz w:val="24"/>
                <w:szCs w:val="24"/>
                <w:highlight w:val="none"/>
                <w:vertAlign w:val="baseline"/>
                <w:lang w:val="en-US" w:eastAsia="zh-CN"/>
              </w:rPr>
            </w:pPr>
            <w:r>
              <w:rPr>
                <w:rFonts w:hint="eastAsia" w:eastAsiaTheme="minorEastAsia"/>
                <w:color w:val="auto"/>
                <w:sz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841" w:type="dxa"/>
            <w:vMerge w:val="continue"/>
            <w:vAlign w:val="center"/>
          </w:tcPr>
          <w:p>
            <w:pPr>
              <w:jc w:val="center"/>
              <w:rPr>
                <w:rFonts w:hint="eastAsia" w:eastAsiaTheme="minorEastAsia"/>
                <w:color w:val="auto"/>
                <w:sz w:val="24"/>
                <w:szCs w:val="24"/>
                <w:highlight w:val="none"/>
                <w:vertAlign w:val="baseline"/>
                <w:lang w:val="en-US" w:eastAsia="zh-CN"/>
              </w:rPr>
            </w:pPr>
          </w:p>
        </w:tc>
        <w:tc>
          <w:tcPr>
            <w:tcW w:w="902" w:type="dxa"/>
            <w:vMerge w:val="continue"/>
            <w:vAlign w:val="center"/>
          </w:tcPr>
          <w:p>
            <w:pPr>
              <w:snapToGrid w:val="0"/>
              <w:spacing w:line="300" w:lineRule="auto"/>
              <w:jc w:val="center"/>
              <w:rPr>
                <w:rFonts w:hint="eastAsia" w:eastAsia="宋体" w:cs="Times New Roman"/>
                <w:color w:val="auto"/>
                <w:sz w:val="24"/>
                <w:szCs w:val="24"/>
                <w:highlight w:val="none"/>
                <w:vertAlign w:val="baseline"/>
                <w:lang w:val="en-US" w:eastAsia="zh-CN"/>
              </w:rPr>
            </w:pPr>
          </w:p>
        </w:tc>
        <w:tc>
          <w:tcPr>
            <w:tcW w:w="7474" w:type="dxa"/>
            <w:vAlign w:val="center"/>
          </w:tcPr>
          <w:p>
            <w:pPr>
              <w:snapToGrid w:val="0"/>
              <w:spacing w:line="300" w:lineRule="auto"/>
              <w:jc w:val="left"/>
              <w:rPr>
                <w:color w:val="auto"/>
                <w:sz w:val="24"/>
                <w:highlight w:val="none"/>
              </w:rPr>
            </w:pPr>
            <w:r>
              <w:rPr>
                <w:rFonts w:hint="eastAsia"/>
                <w:color w:val="auto"/>
                <w:sz w:val="24"/>
                <w:highlight w:val="none"/>
              </w:rPr>
              <w:t>③专业技术人员配备情况及组织架构、工作年限；</w:t>
            </w:r>
          </w:p>
          <w:p>
            <w:pPr>
              <w:snapToGrid w:val="0"/>
              <w:spacing w:line="300" w:lineRule="auto"/>
              <w:jc w:val="left"/>
              <w:rPr>
                <w:rFonts w:hint="eastAsia" w:eastAsia="宋体" w:cs="Times New Roman"/>
                <w:color w:val="auto"/>
                <w:sz w:val="24"/>
                <w:szCs w:val="24"/>
                <w:highlight w:val="none"/>
                <w:vertAlign w:val="baseline"/>
                <w:lang w:val="en-US" w:eastAsia="zh-CN"/>
              </w:rPr>
            </w:pPr>
            <w:r>
              <w:rPr>
                <w:rFonts w:hint="eastAsia"/>
                <w:color w:val="auto"/>
                <w:sz w:val="24"/>
                <w:highlight w:val="none"/>
              </w:rPr>
              <w:t>提供的方案完全满足且优于本项目需求得2分；内容</w:t>
            </w:r>
            <w:r>
              <w:rPr>
                <w:rFonts w:hint="eastAsia"/>
                <w:color w:val="auto"/>
                <w:sz w:val="24"/>
                <w:highlight w:val="none"/>
                <w:lang w:val="en-US" w:eastAsia="zh-CN"/>
              </w:rPr>
              <w:t>完整</w:t>
            </w:r>
            <w:r>
              <w:rPr>
                <w:rFonts w:hint="eastAsia"/>
                <w:color w:val="auto"/>
                <w:sz w:val="24"/>
                <w:highlight w:val="none"/>
              </w:rPr>
              <w:t>与本项目相符得 1分；所提供的内容有缺失的得0.5分，不满足项目需求或未提供得0分。</w:t>
            </w:r>
          </w:p>
        </w:tc>
        <w:tc>
          <w:tcPr>
            <w:tcW w:w="822" w:type="dxa"/>
            <w:vAlign w:val="center"/>
          </w:tcPr>
          <w:p>
            <w:pPr>
              <w:jc w:val="center"/>
              <w:rPr>
                <w:rFonts w:hint="eastAsia" w:eastAsiaTheme="minorEastAsia"/>
                <w:color w:val="auto"/>
                <w:sz w:val="24"/>
                <w:szCs w:val="24"/>
                <w:highlight w:val="none"/>
                <w:vertAlign w:val="baseline"/>
                <w:lang w:val="en-US" w:eastAsia="zh-CN"/>
              </w:rPr>
            </w:pPr>
            <w:r>
              <w:rPr>
                <w:rFonts w:hint="eastAsia" w:eastAsiaTheme="minorEastAsia"/>
                <w:color w:val="auto"/>
                <w:sz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4" w:hRule="atLeast"/>
          <w:jc w:val="center"/>
        </w:trPr>
        <w:tc>
          <w:tcPr>
            <w:tcW w:w="841" w:type="dxa"/>
            <w:vMerge w:val="restart"/>
            <w:vAlign w:val="center"/>
          </w:tcPr>
          <w:p>
            <w:pPr>
              <w:jc w:val="center"/>
              <w:rPr>
                <w:rFonts w:hint="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技术部分</w:t>
            </w:r>
          </w:p>
        </w:tc>
        <w:tc>
          <w:tcPr>
            <w:tcW w:w="902" w:type="dxa"/>
            <w:vAlign w:val="center"/>
          </w:tcPr>
          <w:p>
            <w:pPr>
              <w:pStyle w:val="8"/>
              <w:jc w:val="center"/>
              <w:rPr>
                <w:rFonts w:hint="eastAsia" w:eastAsia="宋体"/>
                <w:color w:val="auto"/>
                <w:sz w:val="24"/>
                <w:szCs w:val="24"/>
                <w:highlight w:val="none"/>
                <w:lang w:eastAsia="zh-CN"/>
              </w:rPr>
            </w:pPr>
            <w:r>
              <w:rPr>
                <w:rFonts w:hint="eastAsia"/>
                <w:color w:val="auto"/>
                <w:sz w:val="24"/>
                <w:szCs w:val="24"/>
                <w:highlight w:val="none"/>
                <w:lang w:eastAsia="zh-CN"/>
              </w:rPr>
              <w:t>技术参数评审</w:t>
            </w:r>
          </w:p>
          <w:p>
            <w:pPr>
              <w:jc w:val="center"/>
              <w:rPr>
                <w:rFonts w:hint="eastAsia" w:eastAsiaTheme="minorEastAsia"/>
                <w:color w:val="auto"/>
                <w:sz w:val="24"/>
                <w:szCs w:val="24"/>
                <w:highlight w:val="none"/>
                <w:vertAlign w:val="baseline"/>
                <w:lang w:val="en-US" w:eastAsia="zh-CN"/>
              </w:rPr>
            </w:pPr>
          </w:p>
        </w:tc>
        <w:tc>
          <w:tcPr>
            <w:tcW w:w="7474" w:type="dxa"/>
            <w:vAlign w:val="center"/>
          </w:tcPr>
          <w:p>
            <w:pPr>
              <w:jc w:val="left"/>
              <w:rPr>
                <w:rFonts w:hint="eastAsia" w:eastAsia="宋体"/>
                <w:color w:val="auto"/>
                <w:sz w:val="24"/>
                <w:szCs w:val="24"/>
                <w:highlight w:val="none"/>
                <w:vertAlign w:val="baseline"/>
                <w:lang w:eastAsia="zh-CN"/>
              </w:rPr>
            </w:pPr>
            <w:r>
              <w:rPr>
                <w:rFonts w:hint="eastAsia" w:eastAsia="宋体"/>
                <w:color w:val="auto"/>
                <w:sz w:val="24"/>
                <w:szCs w:val="24"/>
                <w:highlight w:val="none"/>
                <w:vertAlign w:val="baseline"/>
                <w:lang w:eastAsia="zh-CN"/>
              </w:rPr>
              <w:t>对技术</w:t>
            </w:r>
            <w:r>
              <w:rPr>
                <w:rFonts w:hint="eastAsia"/>
                <w:color w:val="auto"/>
                <w:sz w:val="24"/>
                <w:szCs w:val="24"/>
                <w:highlight w:val="none"/>
                <w:vertAlign w:val="baseline"/>
                <w:lang w:val="en-US" w:eastAsia="zh-CN"/>
              </w:rPr>
              <w:t>规格偏离表</w:t>
            </w:r>
            <w:r>
              <w:rPr>
                <w:rFonts w:hint="eastAsia" w:eastAsia="宋体"/>
                <w:color w:val="auto"/>
                <w:sz w:val="24"/>
                <w:szCs w:val="24"/>
                <w:highlight w:val="none"/>
                <w:vertAlign w:val="baseline"/>
                <w:lang w:eastAsia="zh-CN"/>
              </w:rPr>
              <w:t>中技术参数的响应进行评审，每有一项★条款负偏离扣</w:t>
            </w:r>
            <w:r>
              <w:rPr>
                <w:rFonts w:hint="eastAsia"/>
                <w:color w:val="auto"/>
                <w:sz w:val="24"/>
                <w:szCs w:val="24"/>
                <w:highlight w:val="none"/>
                <w:vertAlign w:val="baseline"/>
                <w:lang w:val="en-US" w:eastAsia="zh-CN"/>
              </w:rPr>
              <w:t>5</w:t>
            </w:r>
            <w:r>
              <w:rPr>
                <w:rFonts w:hint="eastAsia" w:eastAsia="宋体"/>
                <w:color w:val="auto"/>
                <w:sz w:val="24"/>
                <w:szCs w:val="24"/>
                <w:highlight w:val="none"/>
                <w:vertAlign w:val="baseline"/>
                <w:lang w:eastAsia="zh-CN"/>
              </w:rPr>
              <w:t>分，每有一项▲条款负偏离扣</w:t>
            </w:r>
            <w:r>
              <w:rPr>
                <w:rFonts w:hint="eastAsia"/>
                <w:color w:val="auto"/>
                <w:sz w:val="24"/>
                <w:szCs w:val="24"/>
                <w:highlight w:val="none"/>
                <w:vertAlign w:val="baseline"/>
                <w:lang w:val="en-US" w:eastAsia="zh-CN"/>
              </w:rPr>
              <w:t>3</w:t>
            </w:r>
            <w:r>
              <w:rPr>
                <w:rFonts w:hint="eastAsia" w:eastAsia="宋体"/>
                <w:color w:val="auto"/>
                <w:sz w:val="24"/>
                <w:szCs w:val="24"/>
                <w:highlight w:val="none"/>
                <w:vertAlign w:val="baseline"/>
                <w:lang w:eastAsia="zh-CN"/>
              </w:rPr>
              <w:t>分，非★、非▲条款每有一项负偏离扣1分，扣完为止，最低得0分。“1项”包括技术需求书中最低层级的序号项。</w:t>
            </w:r>
          </w:p>
          <w:p>
            <w:pPr>
              <w:jc w:val="left"/>
              <w:rPr>
                <w:rFonts w:hint="eastAsia" w:eastAsia="宋体"/>
                <w:b/>
                <w:bCs/>
                <w:color w:val="auto"/>
                <w:sz w:val="24"/>
                <w:szCs w:val="24"/>
                <w:highlight w:val="none"/>
                <w:vertAlign w:val="baseline"/>
                <w:lang w:eastAsia="zh-CN"/>
              </w:rPr>
            </w:pPr>
            <w:r>
              <w:rPr>
                <w:rFonts w:hint="eastAsia" w:eastAsia="宋体"/>
                <w:b/>
                <w:bCs/>
                <w:color w:val="auto"/>
                <w:sz w:val="24"/>
                <w:szCs w:val="24"/>
                <w:highlight w:val="none"/>
                <w:vertAlign w:val="baseline"/>
                <w:lang w:eastAsia="zh-CN"/>
              </w:rPr>
              <w:t>技术参数偏离表中的响应内容，应提供佐证材料，有检测报告的，应以提供检测报告；无检测报告的，应提供产品说明的官方截图；无前两项的，应提供经发行的市场产品宣传册。</w:t>
            </w:r>
          </w:p>
          <w:p>
            <w:pPr>
              <w:pStyle w:val="2"/>
              <w:rPr>
                <w:color w:val="auto"/>
                <w:highlight w:val="none"/>
              </w:rPr>
            </w:pPr>
            <w:r>
              <w:rPr>
                <w:rFonts w:hint="eastAsia" w:ascii="宋体" w:hAnsi="宋体" w:cs="宋体"/>
                <w:b/>
                <w:bCs/>
                <w:color w:val="auto"/>
                <w:kern w:val="0"/>
                <w:sz w:val="24"/>
                <w:highlight w:val="none"/>
                <w:lang w:bidi="ar"/>
              </w:rPr>
              <w:t xml:space="preserve">注：1.技术参数响应条款如有缺、漏项的，则该项视为负偏离； </w:t>
            </w:r>
          </w:p>
          <w:p>
            <w:pPr>
              <w:jc w:val="left"/>
              <w:rPr>
                <w:rFonts w:hint="eastAsia" w:ascii="Calibri" w:hAnsi="Calibri" w:eastAsia="宋体" w:cs="Times New Roman"/>
                <w:b/>
                <w:bCs/>
                <w:color w:val="auto"/>
                <w:kern w:val="2"/>
                <w:sz w:val="24"/>
                <w:szCs w:val="24"/>
                <w:highlight w:val="none"/>
                <w:vertAlign w:val="baseline"/>
                <w:lang w:val="en-US" w:eastAsia="zh-CN" w:bidi="ar-SA"/>
              </w:rPr>
            </w:pPr>
            <w:r>
              <w:rPr>
                <w:rFonts w:hint="eastAsia" w:ascii="宋体" w:hAnsi="宋体" w:cs="宋体"/>
                <w:b/>
                <w:bCs/>
                <w:color w:val="auto"/>
                <w:kern w:val="0"/>
                <w:sz w:val="24"/>
                <w:highlight w:val="none"/>
                <w:lang w:bidi="ar"/>
              </w:rPr>
              <w:t>2.技术参数中指标性数值完全复制招标文件要求的属于负偏离，文字性描述复制的不属于负偏离，技术参数响应指标与检测报告（采购需求中若要求提供时）不一致的属于负偏离。</w:t>
            </w:r>
          </w:p>
        </w:tc>
        <w:tc>
          <w:tcPr>
            <w:tcW w:w="822" w:type="dxa"/>
            <w:vAlign w:val="center"/>
          </w:tcPr>
          <w:p>
            <w:pPr>
              <w:jc w:val="center"/>
              <w:rPr>
                <w:rFonts w:hint="default" w:eastAsiaTheme="minorEastAsia"/>
                <w:color w:val="auto"/>
                <w:sz w:val="24"/>
                <w:szCs w:val="24"/>
                <w:highlight w:val="none"/>
                <w:vertAlign w:val="baseline"/>
                <w:lang w:val="en-US" w:eastAsia="zh-CN"/>
              </w:rPr>
            </w:pPr>
            <w:r>
              <w:rPr>
                <w:rFonts w:hint="eastAsia" w:eastAsiaTheme="minorEastAsia"/>
                <w:color w:val="auto"/>
                <w:sz w:val="24"/>
                <w:szCs w:val="24"/>
                <w:highlight w:val="none"/>
                <w:vertAlign w:val="baseline"/>
                <w:lang w:val="en-US" w:eastAsia="zh-CN"/>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41" w:type="dxa"/>
            <w:vMerge w:val="continue"/>
            <w:vAlign w:val="center"/>
          </w:tcPr>
          <w:p>
            <w:pPr>
              <w:jc w:val="center"/>
              <w:rPr>
                <w:rFonts w:hint="eastAsia"/>
                <w:color w:val="auto"/>
                <w:sz w:val="24"/>
                <w:szCs w:val="24"/>
                <w:highlight w:val="none"/>
                <w:vertAlign w:val="baseline"/>
                <w:lang w:val="en-US" w:eastAsia="zh-CN"/>
              </w:rPr>
            </w:pPr>
          </w:p>
        </w:tc>
        <w:tc>
          <w:tcPr>
            <w:tcW w:w="902" w:type="dxa"/>
            <w:vAlign w:val="center"/>
          </w:tcPr>
          <w:p>
            <w:pPr>
              <w:keepNext w:val="0"/>
              <w:keepLines w:val="0"/>
              <w:pageBreakBefore w:val="0"/>
              <w:kinsoku/>
              <w:wordWrap/>
              <w:overflowPunct/>
              <w:topLinePunct w:val="0"/>
              <w:autoSpaceDE/>
              <w:autoSpaceDN/>
              <w:bidi w:val="0"/>
              <w:snapToGrid w:val="0"/>
              <w:spacing w:line="300" w:lineRule="auto"/>
              <w:jc w:val="center"/>
              <w:textAlignment w:val="auto"/>
              <w:rPr>
                <w:rFonts w:hint="eastAsia" w:eastAsiaTheme="minorEastAsia"/>
                <w:color w:val="auto"/>
                <w:sz w:val="24"/>
                <w:szCs w:val="24"/>
                <w:highlight w:val="none"/>
                <w:vertAlign w:val="baseline"/>
                <w:lang w:val="en-US" w:eastAsia="zh-CN"/>
              </w:rPr>
            </w:pPr>
            <w:r>
              <w:rPr>
                <w:rFonts w:hint="eastAsia" w:ascii="Calibri" w:hAnsi="Calibri" w:eastAsia="宋体" w:cs="Times New Roman"/>
                <w:color w:val="auto"/>
                <w:kern w:val="2"/>
                <w:sz w:val="24"/>
                <w:szCs w:val="24"/>
                <w:highlight w:val="none"/>
                <w:lang w:val="en-US" w:eastAsia="zh-CN" w:bidi="ar-SA"/>
              </w:rPr>
              <w:t>样品</w:t>
            </w:r>
          </w:p>
        </w:tc>
        <w:tc>
          <w:tcPr>
            <w:tcW w:w="7474" w:type="dxa"/>
            <w:vAlign w:val="center"/>
          </w:tcPr>
          <w:p>
            <w:pPr>
              <w:jc w:val="left"/>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投标人须按照所投标段提供符合招标文件要求的样品(全新所投产品)。（样品需满足测试需要）</w:t>
            </w:r>
          </w:p>
          <w:p>
            <w:pPr>
              <w:jc w:val="left"/>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空气呼吸器</w:t>
            </w:r>
          </w:p>
          <w:p>
            <w:pPr>
              <w:jc w:val="left"/>
              <w:rPr>
                <w:rFonts w:hint="eastAsia" w:ascii="宋体" w:hAnsi="宋体" w:eastAsia="宋体" w:cs="宋体"/>
                <w:b w:val="0"/>
                <w:bCs w:val="0"/>
                <w:color w:val="auto"/>
                <w:sz w:val="24"/>
                <w:szCs w:val="24"/>
                <w:highlight w:val="none"/>
                <w:vertAlign w:val="baseline"/>
                <w:lang w:eastAsia="zh-CN"/>
              </w:rPr>
            </w:pPr>
            <w:r>
              <w:rPr>
                <w:rFonts w:hint="default" w:ascii="宋体" w:hAnsi="宋体" w:eastAsia="宋体" w:cs="宋体"/>
                <w:b w:val="0"/>
                <w:bCs w:val="0"/>
                <w:color w:val="auto"/>
                <w:sz w:val="24"/>
                <w:szCs w:val="24"/>
                <w:highlight w:val="none"/>
                <w:vertAlign w:val="baseline"/>
                <w:lang w:val="en-US" w:eastAsia="zh-CN"/>
              </w:rPr>
              <w:t>1.</w:t>
            </w:r>
            <w:r>
              <w:rPr>
                <w:rFonts w:hint="eastAsia" w:ascii="宋体" w:hAnsi="宋体" w:eastAsia="宋体" w:cs="宋体"/>
                <w:b w:val="0"/>
                <w:bCs w:val="0"/>
                <w:color w:val="auto"/>
                <w:sz w:val="24"/>
                <w:szCs w:val="24"/>
                <w:highlight w:val="none"/>
                <w:vertAlign w:val="baseline"/>
                <w:lang w:eastAsia="zh-CN"/>
              </w:rPr>
              <w:t>背具带应能调节长度，扣紧后不应发生滑脱；</w:t>
            </w:r>
          </w:p>
          <w:p>
            <w:pPr>
              <w:jc w:val="left"/>
              <w:rPr>
                <w:rFonts w:hint="eastAsia" w:ascii="宋体" w:hAnsi="宋体" w:eastAsia="宋体" w:cs="宋体"/>
                <w:b w:val="0"/>
                <w:bCs w:val="0"/>
                <w:color w:val="auto"/>
                <w:sz w:val="24"/>
                <w:szCs w:val="24"/>
                <w:highlight w:val="none"/>
                <w:vertAlign w:val="baseline"/>
                <w:lang w:eastAsia="zh-CN"/>
              </w:rPr>
            </w:pPr>
            <w:r>
              <w:rPr>
                <w:rFonts w:hint="default" w:ascii="宋体" w:hAnsi="宋体" w:eastAsia="宋体" w:cs="宋体"/>
                <w:b w:val="0"/>
                <w:bCs w:val="0"/>
                <w:color w:val="auto"/>
                <w:sz w:val="24"/>
                <w:szCs w:val="24"/>
                <w:highlight w:val="none"/>
                <w:vertAlign w:val="baseline"/>
                <w:lang w:val="en-US" w:eastAsia="zh-CN"/>
              </w:rPr>
              <w:t>2.</w:t>
            </w:r>
            <w:r>
              <w:rPr>
                <w:rFonts w:hint="eastAsia" w:ascii="宋体" w:hAnsi="宋体" w:eastAsia="宋体" w:cs="宋体"/>
                <w:b w:val="0"/>
                <w:bCs w:val="0"/>
                <w:color w:val="auto"/>
                <w:sz w:val="24"/>
                <w:szCs w:val="24"/>
                <w:highlight w:val="none"/>
                <w:vertAlign w:val="baseline"/>
                <w:lang w:eastAsia="zh-CN"/>
              </w:rPr>
              <w:t>带扣和连接件锁紧后不应松动；</w:t>
            </w:r>
          </w:p>
          <w:p>
            <w:pPr>
              <w:jc w:val="left"/>
              <w:rPr>
                <w:rFonts w:hint="eastAsia" w:ascii="宋体" w:hAnsi="宋体" w:eastAsia="宋体" w:cs="宋体"/>
                <w:b w:val="0"/>
                <w:bCs w:val="0"/>
                <w:color w:val="auto"/>
                <w:sz w:val="24"/>
                <w:szCs w:val="24"/>
                <w:highlight w:val="none"/>
                <w:vertAlign w:val="baseline"/>
                <w:lang w:eastAsia="zh-CN"/>
              </w:rPr>
            </w:pPr>
            <w:r>
              <w:rPr>
                <w:rFonts w:hint="default" w:ascii="宋体" w:hAnsi="宋体" w:eastAsia="宋体" w:cs="宋体"/>
                <w:b w:val="0"/>
                <w:bCs w:val="0"/>
                <w:color w:val="auto"/>
                <w:sz w:val="24"/>
                <w:szCs w:val="24"/>
                <w:highlight w:val="none"/>
                <w:vertAlign w:val="baseline"/>
                <w:lang w:val="en-US" w:eastAsia="zh-CN"/>
              </w:rPr>
              <w:t>3.</w:t>
            </w:r>
            <w:r>
              <w:rPr>
                <w:rFonts w:hint="eastAsia" w:ascii="宋体" w:hAnsi="宋体" w:eastAsia="宋体" w:cs="宋体"/>
                <w:b w:val="0"/>
                <w:bCs w:val="0"/>
                <w:color w:val="auto"/>
                <w:sz w:val="24"/>
                <w:szCs w:val="24"/>
                <w:highlight w:val="none"/>
                <w:vertAlign w:val="baseline"/>
                <w:lang w:eastAsia="zh-CN"/>
              </w:rPr>
              <w:t>全面罩的头带或头罩应能根据需要自由调整，戴脱应方便、快捷；</w:t>
            </w:r>
          </w:p>
          <w:p>
            <w:pPr>
              <w:jc w:val="left"/>
              <w:rPr>
                <w:rFonts w:hint="eastAsia" w:ascii="宋体" w:hAnsi="宋体" w:eastAsia="宋体" w:cs="宋体"/>
                <w:b w:val="0"/>
                <w:bCs w:val="0"/>
                <w:color w:val="auto"/>
                <w:sz w:val="24"/>
                <w:szCs w:val="24"/>
                <w:highlight w:val="none"/>
                <w:vertAlign w:val="baseline"/>
                <w:lang w:eastAsia="zh-CN"/>
              </w:rPr>
            </w:pPr>
            <w:r>
              <w:rPr>
                <w:rFonts w:hint="default" w:ascii="宋体" w:hAnsi="宋体" w:eastAsia="宋体" w:cs="宋体"/>
                <w:b w:val="0"/>
                <w:bCs w:val="0"/>
                <w:color w:val="auto"/>
                <w:sz w:val="24"/>
                <w:szCs w:val="24"/>
                <w:highlight w:val="none"/>
                <w:vertAlign w:val="baseline"/>
                <w:lang w:val="en-US" w:eastAsia="zh-CN"/>
              </w:rPr>
              <w:t>4.</w:t>
            </w:r>
            <w:r>
              <w:rPr>
                <w:rFonts w:hint="eastAsia" w:ascii="宋体" w:hAnsi="宋体" w:eastAsia="宋体" w:cs="宋体"/>
                <w:b w:val="0"/>
                <w:bCs w:val="0"/>
                <w:color w:val="auto"/>
                <w:sz w:val="24"/>
                <w:szCs w:val="24"/>
                <w:highlight w:val="none"/>
                <w:vertAlign w:val="baseline"/>
                <w:lang w:eastAsia="zh-CN"/>
              </w:rPr>
              <w:t>帯有眼镜支架时，连接应可靠，无明显晃动感；</w:t>
            </w:r>
          </w:p>
          <w:p>
            <w:pPr>
              <w:jc w:val="left"/>
              <w:rPr>
                <w:rFonts w:hint="eastAsia" w:ascii="宋体" w:hAnsi="宋体" w:eastAsia="宋体" w:cs="宋体"/>
                <w:b w:val="0"/>
                <w:bCs w:val="0"/>
                <w:color w:val="auto"/>
                <w:sz w:val="24"/>
                <w:szCs w:val="24"/>
                <w:highlight w:val="none"/>
                <w:vertAlign w:val="baseline"/>
                <w:lang w:eastAsia="zh-CN"/>
              </w:rPr>
            </w:pPr>
            <w:r>
              <w:rPr>
                <w:rFonts w:hint="default" w:ascii="宋体" w:hAnsi="宋体" w:eastAsia="宋体" w:cs="宋体"/>
                <w:b w:val="0"/>
                <w:bCs w:val="0"/>
                <w:color w:val="auto"/>
                <w:sz w:val="24"/>
                <w:szCs w:val="24"/>
                <w:highlight w:val="none"/>
                <w:vertAlign w:val="baseline"/>
                <w:lang w:val="en-US" w:eastAsia="zh-CN"/>
              </w:rPr>
              <w:t>5.</w:t>
            </w:r>
            <w:r>
              <w:rPr>
                <w:rFonts w:hint="eastAsia" w:ascii="宋体" w:hAnsi="宋体" w:eastAsia="宋体" w:cs="宋体"/>
                <w:b w:val="0"/>
                <w:bCs w:val="0"/>
                <w:color w:val="auto"/>
                <w:sz w:val="24"/>
                <w:szCs w:val="24"/>
                <w:highlight w:val="none"/>
                <w:vertAlign w:val="baseline"/>
                <w:lang w:eastAsia="zh-CN"/>
              </w:rPr>
              <w:t>报警器由机械报警或电子报警组成；</w:t>
            </w:r>
          </w:p>
          <w:p>
            <w:pPr>
              <w:jc w:val="left"/>
              <w:rPr>
                <w:rFonts w:hint="eastAsia" w:ascii="宋体" w:hAnsi="宋体" w:eastAsia="宋体" w:cs="宋体"/>
                <w:b w:val="0"/>
                <w:bCs w:val="0"/>
                <w:color w:val="auto"/>
                <w:sz w:val="24"/>
                <w:szCs w:val="24"/>
                <w:highlight w:val="none"/>
                <w:vertAlign w:val="baseline"/>
                <w:lang w:eastAsia="zh-CN"/>
              </w:rPr>
            </w:pPr>
            <w:r>
              <w:rPr>
                <w:rFonts w:hint="default" w:ascii="宋体" w:hAnsi="宋体" w:eastAsia="宋体" w:cs="宋体"/>
                <w:b w:val="0"/>
                <w:bCs w:val="0"/>
                <w:color w:val="auto"/>
                <w:sz w:val="24"/>
                <w:szCs w:val="24"/>
                <w:highlight w:val="none"/>
                <w:vertAlign w:val="baseline"/>
                <w:lang w:val="en-US" w:eastAsia="zh-CN"/>
              </w:rPr>
              <w:t>6.</w:t>
            </w:r>
            <w:r>
              <w:rPr>
                <w:rFonts w:hint="eastAsia" w:ascii="宋体" w:hAnsi="宋体" w:eastAsia="宋体" w:cs="宋体"/>
                <w:b w:val="0"/>
                <w:bCs w:val="0"/>
                <w:color w:val="auto"/>
                <w:sz w:val="24"/>
                <w:szCs w:val="24"/>
                <w:highlight w:val="none"/>
                <w:vertAlign w:val="baseline"/>
                <w:lang w:eastAsia="zh-CN"/>
              </w:rPr>
              <w:t>中压导气管不应影响头部的自由活动；</w:t>
            </w:r>
          </w:p>
          <w:p>
            <w:pPr>
              <w:jc w:val="left"/>
              <w:rPr>
                <w:rFonts w:hint="eastAsia" w:ascii="宋体" w:hAnsi="宋体" w:eastAsia="宋体" w:cs="宋体"/>
                <w:b w:val="0"/>
                <w:bCs w:val="0"/>
                <w:color w:val="auto"/>
                <w:sz w:val="24"/>
                <w:szCs w:val="24"/>
                <w:highlight w:val="none"/>
                <w:vertAlign w:val="baseline"/>
                <w:lang w:val="en-US" w:eastAsia="zh-CN"/>
              </w:rPr>
            </w:pPr>
            <w:r>
              <w:rPr>
                <w:rFonts w:hint="default" w:ascii="宋体" w:hAnsi="宋体" w:eastAsia="宋体" w:cs="宋体"/>
                <w:b w:val="0"/>
                <w:bCs w:val="0"/>
                <w:color w:val="auto"/>
                <w:sz w:val="24"/>
                <w:szCs w:val="24"/>
                <w:highlight w:val="none"/>
                <w:vertAlign w:val="baseline"/>
                <w:lang w:val="en-US" w:eastAsia="zh-CN"/>
              </w:rPr>
              <w:t>7.</w:t>
            </w:r>
            <w:r>
              <w:rPr>
                <w:rFonts w:hint="eastAsia" w:ascii="宋体" w:hAnsi="宋体" w:eastAsia="宋体" w:cs="宋体"/>
                <w:b w:val="0"/>
                <w:bCs w:val="0"/>
                <w:color w:val="auto"/>
                <w:sz w:val="24"/>
                <w:szCs w:val="24"/>
                <w:highlight w:val="none"/>
                <w:vertAlign w:val="baseline"/>
                <w:lang w:val="en-US" w:eastAsia="zh-CN"/>
              </w:rPr>
              <w:t>背托可调节。</w:t>
            </w:r>
          </w:p>
          <w:p>
            <w:pPr>
              <w:jc w:val="left"/>
              <w:rPr>
                <w:rFonts w:hint="eastAsia" w:ascii="Calibri" w:hAnsi="Calibri" w:eastAsia="宋体" w:cs="Times New Roman"/>
                <w:b/>
                <w:bCs/>
                <w:color w:val="auto"/>
                <w:kern w:val="2"/>
                <w:sz w:val="21"/>
                <w:szCs w:val="24"/>
                <w:highlight w:val="none"/>
                <w:vertAlign w:val="baseline"/>
                <w:lang w:val="en-US" w:eastAsia="zh-CN" w:bidi="ar-SA"/>
              </w:rPr>
            </w:pPr>
            <w:r>
              <w:rPr>
                <w:rFonts w:hint="eastAsia" w:ascii="宋体" w:hAnsi="宋体" w:eastAsia="宋体" w:cs="宋体"/>
                <w:b/>
                <w:bCs/>
                <w:color w:val="auto"/>
                <w:sz w:val="24"/>
                <w:szCs w:val="24"/>
                <w:highlight w:val="none"/>
                <w:vertAlign w:val="baseline"/>
                <w:lang w:eastAsia="zh-CN"/>
              </w:rPr>
              <w:t>样品得分=(样品满足项数量/样品要求项总数)x</w:t>
            </w:r>
            <w:r>
              <w:rPr>
                <w:rFonts w:hint="eastAsia" w:ascii="宋体" w:hAnsi="宋体" w:cs="宋体"/>
                <w:b/>
                <w:bCs/>
                <w:color w:val="auto"/>
                <w:sz w:val="24"/>
                <w:szCs w:val="24"/>
                <w:highlight w:val="none"/>
                <w:vertAlign w:val="baseline"/>
                <w:lang w:val="en-US" w:eastAsia="zh-CN"/>
              </w:rPr>
              <w:t>8</w:t>
            </w:r>
            <w:r>
              <w:rPr>
                <w:rFonts w:hint="eastAsia" w:ascii="宋体" w:hAnsi="宋体" w:eastAsia="宋体" w:cs="宋体"/>
                <w:b/>
                <w:bCs/>
                <w:color w:val="auto"/>
                <w:sz w:val="24"/>
                <w:szCs w:val="24"/>
                <w:highlight w:val="none"/>
                <w:vertAlign w:val="baseline"/>
                <w:lang w:eastAsia="zh-CN"/>
              </w:rPr>
              <w:t>，得分保留两位小数。</w:t>
            </w:r>
          </w:p>
        </w:tc>
        <w:tc>
          <w:tcPr>
            <w:tcW w:w="822" w:type="dxa"/>
            <w:vAlign w:val="center"/>
          </w:tcPr>
          <w:p>
            <w:pPr>
              <w:jc w:val="center"/>
              <w:rPr>
                <w:rFonts w:hint="eastAsia" w:eastAsiaTheme="minorEastAsia"/>
                <w:color w:val="auto"/>
                <w:sz w:val="24"/>
                <w:szCs w:val="24"/>
                <w:highlight w:val="none"/>
                <w:vertAlign w:val="baseline"/>
                <w:lang w:val="en-US" w:eastAsia="zh-CN"/>
              </w:rPr>
            </w:pPr>
            <w:r>
              <w:rPr>
                <w:rFonts w:hint="eastAsia" w:eastAsiaTheme="minorEastAsia"/>
                <w:color w:val="auto"/>
                <w:sz w:val="24"/>
                <w:szCs w:val="24"/>
                <w:highlight w:val="none"/>
                <w:vertAlign w:val="baseline"/>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841" w:type="dxa"/>
            <w:vMerge w:val="restart"/>
            <w:vAlign w:val="center"/>
          </w:tcPr>
          <w:p>
            <w:pPr>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服务部分</w:t>
            </w:r>
          </w:p>
        </w:tc>
        <w:tc>
          <w:tcPr>
            <w:tcW w:w="902" w:type="dxa"/>
            <w:vAlign w:val="center"/>
          </w:tcPr>
          <w:p>
            <w:pPr>
              <w:jc w:val="center"/>
              <w:rPr>
                <w:rFonts w:hint="eastAsia" w:ascii="Calibri" w:hAnsi="Calibri" w:cs="Times New Roman" w:eastAsiaTheme="minorEastAsia"/>
                <w:color w:val="auto"/>
                <w:kern w:val="2"/>
                <w:sz w:val="24"/>
                <w:szCs w:val="24"/>
                <w:highlight w:val="none"/>
                <w:vertAlign w:val="baseline"/>
                <w:lang w:val="en-US" w:eastAsia="zh-CN" w:bidi="ar-SA"/>
              </w:rPr>
            </w:pPr>
            <w:r>
              <w:rPr>
                <w:rFonts w:hint="eastAsia" w:eastAsiaTheme="minorEastAsia"/>
                <w:color w:val="auto"/>
                <w:sz w:val="24"/>
                <w:szCs w:val="24"/>
                <w:highlight w:val="none"/>
                <w:vertAlign w:val="baseline"/>
                <w:lang w:val="en-US" w:eastAsia="zh-CN"/>
              </w:rPr>
              <w:t>质保期</w:t>
            </w:r>
          </w:p>
        </w:tc>
        <w:tc>
          <w:tcPr>
            <w:tcW w:w="7474" w:type="dxa"/>
            <w:vAlign w:val="center"/>
          </w:tcPr>
          <w:p>
            <w:pPr>
              <w:jc w:val="left"/>
              <w:rPr>
                <w:rFonts w:hint="eastAsia" w:ascii="Calibri" w:hAnsi="Calibri" w:eastAsia="宋体" w:cs="Times New Roman"/>
                <w:b/>
                <w:bCs/>
                <w:color w:val="auto"/>
                <w:kern w:val="2"/>
                <w:sz w:val="24"/>
                <w:szCs w:val="24"/>
                <w:highlight w:val="none"/>
                <w:vertAlign w:val="baseline"/>
                <w:lang w:val="en-US" w:eastAsia="zh-CN" w:bidi="ar-SA"/>
              </w:rPr>
            </w:pPr>
            <w:r>
              <w:rPr>
                <w:rFonts w:hint="eastAsia"/>
                <w:b w:val="0"/>
                <w:bCs w:val="0"/>
                <w:color w:val="auto"/>
                <w:sz w:val="24"/>
                <w:szCs w:val="24"/>
                <w:highlight w:val="none"/>
                <w:vertAlign w:val="baseline"/>
              </w:rPr>
              <w:t>质保期响应招标文件要求，在招标文件要求基础上每增加1年得</w:t>
            </w:r>
            <w:r>
              <w:rPr>
                <w:rFonts w:hint="eastAsia"/>
                <w:b w:val="0"/>
                <w:bCs w:val="0"/>
                <w:color w:val="auto"/>
                <w:sz w:val="24"/>
                <w:szCs w:val="24"/>
                <w:highlight w:val="none"/>
                <w:vertAlign w:val="baseline"/>
                <w:lang w:val="en-US" w:eastAsia="zh-CN"/>
              </w:rPr>
              <w:t>1</w:t>
            </w:r>
            <w:r>
              <w:rPr>
                <w:rFonts w:hint="eastAsia"/>
                <w:b w:val="0"/>
                <w:bCs w:val="0"/>
                <w:color w:val="auto"/>
                <w:sz w:val="24"/>
                <w:szCs w:val="24"/>
                <w:highlight w:val="none"/>
                <w:vertAlign w:val="baseline"/>
              </w:rPr>
              <w:t>分，满分</w:t>
            </w:r>
            <w:r>
              <w:rPr>
                <w:rFonts w:hint="eastAsia"/>
                <w:b w:val="0"/>
                <w:bCs w:val="0"/>
                <w:color w:val="auto"/>
                <w:sz w:val="24"/>
                <w:szCs w:val="24"/>
                <w:highlight w:val="none"/>
                <w:vertAlign w:val="baseline"/>
                <w:lang w:val="en-US" w:eastAsia="zh-CN"/>
              </w:rPr>
              <w:t>2</w:t>
            </w:r>
            <w:r>
              <w:rPr>
                <w:rFonts w:hint="eastAsia"/>
                <w:b w:val="0"/>
                <w:bCs w:val="0"/>
                <w:color w:val="auto"/>
                <w:sz w:val="24"/>
                <w:szCs w:val="24"/>
                <w:highlight w:val="none"/>
                <w:vertAlign w:val="baseline"/>
              </w:rPr>
              <w:t>分，未提供不得分。</w:t>
            </w:r>
          </w:p>
        </w:tc>
        <w:tc>
          <w:tcPr>
            <w:tcW w:w="822" w:type="dxa"/>
            <w:vAlign w:val="center"/>
          </w:tcPr>
          <w:p>
            <w:pPr>
              <w:jc w:val="center"/>
              <w:rPr>
                <w:rFonts w:hint="eastAsia" w:ascii="Calibri" w:hAnsi="Calibri" w:cs="Times New Roman" w:eastAsiaTheme="minorEastAsia"/>
                <w:color w:val="auto"/>
                <w:kern w:val="2"/>
                <w:sz w:val="24"/>
                <w:szCs w:val="24"/>
                <w:highlight w:val="none"/>
                <w:vertAlign w:val="baseline"/>
                <w:lang w:val="en-US" w:eastAsia="zh-CN" w:bidi="ar-SA"/>
              </w:rPr>
            </w:pPr>
            <w:r>
              <w:rPr>
                <w:rFonts w:hint="eastAsia" w:eastAsiaTheme="minorEastAsia"/>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841" w:type="dxa"/>
            <w:vMerge w:val="continue"/>
            <w:vAlign w:val="center"/>
          </w:tcPr>
          <w:p>
            <w:pPr>
              <w:jc w:val="center"/>
              <w:rPr>
                <w:rFonts w:hint="eastAsia"/>
                <w:color w:val="auto"/>
                <w:sz w:val="24"/>
                <w:szCs w:val="24"/>
                <w:highlight w:val="none"/>
                <w:vertAlign w:val="baseline"/>
                <w:lang w:val="en-US" w:eastAsia="zh-CN"/>
              </w:rPr>
            </w:pPr>
          </w:p>
        </w:tc>
        <w:tc>
          <w:tcPr>
            <w:tcW w:w="902" w:type="dxa"/>
            <w:vMerge w:val="restart"/>
            <w:vAlign w:val="center"/>
          </w:tcPr>
          <w:p>
            <w:pPr>
              <w:snapToGrid w:val="0"/>
              <w:spacing w:line="300" w:lineRule="auto"/>
              <w:jc w:val="center"/>
              <w:rPr>
                <w:rFonts w:hint="eastAsia" w:ascii="宋体" w:hAnsi="宋体" w:eastAsia="宋体" w:cs="宋体"/>
                <w:color w:val="auto"/>
                <w:kern w:val="2"/>
                <w:sz w:val="24"/>
                <w:szCs w:val="24"/>
                <w:highlight w:val="none"/>
                <w:lang w:val="en-US" w:eastAsia="zh-CN" w:bidi="ar-SA"/>
              </w:rPr>
            </w:pPr>
            <w:r>
              <w:rPr>
                <w:rFonts w:hint="eastAsia"/>
                <w:color w:val="auto"/>
                <w:sz w:val="24"/>
                <w:highlight w:val="none"/>
              </w:rPr>
              <w:t>履约方案</w:t>
            </w:r>
          </w:p>
          <w:p>
            <w:pPr>
              <w:snapToGrid w:val="0"/>
              <w:spacing w:line="300" w:lineRule="auto"/>
              <w:jc w:val="center"/>
              <w:rPr>
                <w:rFonts w:hint="eastAsia" w:ascii="宋体" w:hAnsi="宋体" w:eastAsia="宋体" w:cs="宋体"/>
                <w:color w:val="auto"/>
                <w:kern w:val="2"/>
                <w:sz w:val="24"/>
                <w:szCs w:val="24"/>
                <w:highlight w:val="none"/>
                <w:lang w:val="en-US" w:eastAsia="zh-CN" w:bidi="ar-SA"/>
              </w:rPr>
            </w:pPr>
          </w:p>
        </w:tc>
        <w:tc>
          <w:tcPr>
            <w:tcW w:w="7474" w:type="dxa"/>
            <w:vAlign w:val="center"/>
          </w:tcPr>
          <w:p>
            <w:pPr>
              <w:snapToGrid w:val="0"/>
              <w:spacing w:line="300" w:lineRule="auto"/>
              <w:jc w:val="left"/>
              <w:rPr>
                <w:color w:val="auto"/>
                <w:sz w:val="24"/>
                <w:highlight w:val="none"/>
              </w:rPr>
            </w:pPr>
            <w:r>
              <w:rPr>
                <w:rFonts w:hint="eastAsia"/>
                <w:color w:val="auto"/>
                <w:sz w:val="24"/>
                <w:highlight w:val="none"/>
              </w:rPr>
              <w:t>结合本项目采购需求，对投标人的履约方案进行综合评审：</w:t>
            </w:r>
          </w:p>
          <w:p>
            <w:pPr>
              <w:snapToGrid w:val="0"/>
              <w:spacing w:line="300" w:lineRule="auto"/>
              <w:jc w:val="left"/>
              <w:rPr>
                <w:color w:val="auto"/>
                <w:sz w:val="24"/>
                <w:highlight w:val="none"/>
              </w:rPr>
            </w:pPr>
            <w:r>
              <w:rPr>
                <w:rFonts w:hint="eastAsia"/>
                <w:color w:val="auto"/>
                <w:sz w:val="24"/>
                <w:highlight w:val="none"/>
              </w:rPr>
              <w:t>①</w:t>
            </w:r>
            <w:r>
              <w:rPr>
                <w:rFonts w:hint="eastAsia"/>
                <w:color w:val="auto"/>
                <w:sz w:val="24"/>
                <w:highlight w:val="none"/>
                <w:lang w:val="en-US" w:eastAsia="zh-CN"/>
              </w:rPr>
              <w:t>针对本项目的</w:t>
            </w:r>
            <w:r>
              <w:rPr>
                <w:rFonts w:hint="eastAsia"/>
                <w:color w:val="auto"/>
                <w:sz w:val="24"/>
                <w:highlight w:val="none"/>
              </w:rPr>
              <w:t>生产线设置</w:t>
            </w:r>
            <w:r>
              <w:rPr>
                <w:rFonts w:hint="eastAsia"/>
                <w:color w:val="auto"/>
                <w:sz w:val="24"/>
                <w:highlight w:val="none"/>
                <w:lang w:val="en-US" w:eastAsia="zh-CN"/>
              </w:rPr>
              <w:t>及流水线生产图片、</w:t>
            </w:r>
            <w:r>
              <w:rPr>
                <w:rFonts w:hint="eastAsia"/>
                <w:color w:val="auto"/>
                <w:sz w:val="24"/>
                <w:highlight w:val="none"/>
              </w:rPr>
              <w:t>提供进度计划表；</w:t>
            </w:r>
          </w:p>
          <w:p>
            <w:pPr>
              <w:snapToGrid w:val="0"/>
              <w:spacing w:line="300" w:lineRule="auto"/>
              <w:jc w:val="left"/>
              <w:rPr>
                <w:rFonts w:hint="eastAsia" w:ascii="Calibri" w:hAnsi="Calibri" w:eastAsia="宋体" w:cs="Times New Roman"/>
                <w:color w:val="auto"/>
                <w:kern w:val="2"/>
                <w:sz w:val="24"/>
                <w:szCs w:val="24"/>
                <w:highlight w:val="none"/>
                <w:lang w:val="en-US" w:eastAsia="zh-CN" w:bidi="ar-SA"/>
              </w:rPr>
            </w:pPr>
            <w:r>
              <w:rPr>
                <w:rFonts w:hint="eastAsia"/>
                <w:color w:val="auto"/>
                <w:sz w:val="24"/>
                <w:highlight w:val="none"/>
              </w:rPr>
              <w:t>提供的方案完全满足且优于本项目需求得</w:t>
            </w:r>
            <w:r>
              <w:rPr>
                <w:rFonts w:hint="eastAsia"/>
                <w:color w:val="auto"/>
                <w:sz w:val="24"/>
                <w:highlight w:val="none"/>
                <w:lang w:val="en-US" w:eastAsia="zh-CN"/>
              </w:rPr>
              <w:t>3</w:t>
            </w:r>
            <w:r>
              <w:rPr>
                <w:rFonts w:hint="eastAsia"/>
                <w:color w:val="auto"/>
                <w:sz w:val="24"/>
                <w:highlight w:val="none"/>
              </w:rPr>
              <w:t>分；内容</w:t>
            </w:r>
            <w:r>
              <w:rPr>
                <w:rFonts w:hint="eastAsia"/>
                <w:color w:val="auto"/>
                <w:sz w:val="24"/>
                <w:highlight w:val="none"/>
                <w:lang w:val="en-US" w:eastAsia="zh-CN"/>
              </w:rPr>
              <w:t>完整</w:t>
            </w:r>
            <w:r>
              <w:rPr>
                <w:rFonts w:hint="eastAsia"/>
                <w:color w:val="auto"/>
                <w:sz w:val="24"/>
                <w:highlight w:val="none"/>
              </w:rPr>
              <w:t xml:space="preserve">与本项目相符得 </w:t>
            </w:r>
            <w:r>
              <w:rPr>
                <w:rFonts w:hint="eastAsia"/>
                <w:color w:val="auto"/>
                <w:sz w:val="24"/>
                <w:highlight w:val="none"/>
                <w:lang w:val="en-US" w:eastAsia="zh-CN"/>
              </w:rPr>
              <w:t>2</w:t>
            </w:r>
            <w:r>
              <w:rPr>
                <w:rFonts w:hint="eastAsia"/>
                <w:color w:val="auto"/>
                <w:sz w:val="24"/>
                <w:highlight w:val="none"/>
              </w:rPr>
              <w:t>分；所提供的内容有缺失的得</w:t>
            </w:r>
            <w:r>
              <w:rPr>
                <w:rFonts w:hint="eastAsia"/>
                <w:color w:val="auto"/>
                <w:sz w:val="24"/>
                <w:highlight w:val="none"/>
                <w:lang w:val="en-US" w:eastAsia="zh-CN"/>
              </w:rPr>
              <w:t>1</w:t>
            </w:r>
            <w:r>
              <w:rPr>
                <w:rFonts w:hint="eastAsia"/>
                <w:color w:val="auto"/>
                <w:sz w:val="24"/>
                <w:highlight w:val="none"/>
              </w:rPr>
              <w:t>分，不满足项目需求或未提供得0分。</w:t>
            </w:r>
          </w:p>
        </w:tc>
        <w:tc>
          <w:tcPr>
            <w:tcW w:w="822" w:type="dxa"/>
            <w:vAlign w:val="center"/>
          </w:tcPr>
          <w:p>
            <w:pPr>
              <w:jc w:val="center"/>
              <w:rPr>
                <w:rFonts w:hint="eastAsia" w:ascii="Calibri" w:hAnsi="Calibri" w:cs="Times New Roman" w:eastAsiaTheme="minorEastAsia"/>
                <w:color w:val="auto"/>
                <w:kern w:val="2"/>
                <w:sz w:val="24"/>
                <w:szCs w:val="24"/>
                <w:highlight w:val="none"/>
                <w:lang w:val="en-US" w:eastAsia="zh-CN" w:bidi="ar-SA"/>
              </w:rPr>
            </w:pPr>
            <w:r>
              <w:rPr>
                <w:rFonts w:hint="eastAsia" w:eastAsiaTheme="minorEastAsia"/>
                <w:color w:val="auto"/>
                <w:sz w:val="24"/>
                <w:highlight w:val="none"/>
              </w:rPr>
              <w:t>0-</w:t>
            </w:r>
            <w:r>
              <w:rPr>
                <w:rFonts w:hint="eastAsia" w:eastAsiaTheme="minorEastAsia"/>
                <w:color w:val="auto"/>
                <w:sz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841" w:type="dxa"/>
            <w:vMerge w:val="continue"/>
            <w:vAlign w:val="center"/>
          </w:tcPr>
          <w:p>
            <w:pPr>
              <w:jc w:val="center"/>
              <w:rPr>
                <w:rFonts w:hint="eastAsia"/>
                <w:color w:val="auto"/>
                <w:sz w:val="24"/>
                <w:szCs w:val="24"/>
                <w:highlight w:val="none"/>
                <w:vertAlign w:val="baseline"/>
                <w:lang w:val="en-US" w:eastAsia="zh-CN"/>
              </w:rPr>
            </w:pPr>
          </w:p>
        </w:tc>
        <w:tc>
          <w:tcPr>
            <w:tcW w:w="902" w:type="dxa"/>
            <w:vMerge w:val="continue"/>
            <w:vAlign w:val="center"/>
          </w:tcPr>
          <w:p>
            <w:pPr>
              <w:keepNext w:val="0"/>
              <w:keepLines w:val="0"/>
              <w:pageBreakBefore w:val="0"/>
              <w:kinsoku/>
              <w:wordWrap/>
              <w:overflowPunct/>
              <w:topLinePunct w:val="0"/>
              <w:autoSpaceDE/>
              <w:autoSpaceDN/>
              <w:bidi w:val="0"/>
              <w:snapToGrid w:val="0"/>
              <w:spacing w:line="300" w:lineRule="auto"/>
              <w:jc w:val="center"/>
              <w:textAlignment w:val="auto"/>
              <w:rPr>
                <w:rFonts w:hint="eastAsia" w:ascii="Calibri" w:hAnsi="Calibri" w:eastAsia="宋体" w:cs="Times New Roman"/>
                <w:color w:val="auto"/>
                <w:kern w:val="2"/>
                <w:sz w:val="24"/>
                <w:szCs w:val="24"/>
                <w:highlight w:val="none"/>
                <w:lang w:val="en-US" w:eastAsia="zh-CN" w:bidi="ar-SA"/>
              </w:rPr>
            </w:pPr>
          </w:p>
        </w:tc>
        <w:tc>
          <w:tcPr>
            <w:tcW w:w="7474" w:type="dxa"/>
            <w:vAlign w:val="center"/>
          </w:tcPr>
          <w:p>
            <w:pPr>
              <w:snapToGrid w:val="0"/>
              <w:spacing w:line="300" w:lineRule="auto"/>
              <w:jc w:val="left"/>
              <w:rPr>
                <w:color w:val="auto"/>
                <w:sz w:val="24"/>
                <w:highlight w:val="none"/>
              </w:rPr>
            </w:pPr>
            <w:r>
              <w:rPr>
                <w:rFonts w:hint="eastAsia"/>
                <w:color w:val="auto"/>
                <w:sz w:val="24"/>
                <w:highlight w:val="none"/>
              </w:rPr>
              <w:t>②</w:t>
            </w:r>
            <w:r>
              <w:rPr>
                <w:rFonts w:hint="eastAsia"/>
                <w:color w:val="auto"/>
                <w:sz w:val="24"/>
                <w:highlight w:val="none"/>
                <w:lang w:val="en-US" w:eastAsia="zh-CN"/>
              </w:rPr>
              <w:t>针对本项目的原材料</w:t>
            </w:r>
            <w:r>
              <w:rPr>
                <w:rFonts w:hint="eastAsia"/>
                <w:color w:val="auto"/>
                <w:sz w:val="24"/>
                <w:highlight w:val="none"/>
              </w:rPr>
              <w:t>到场时间、各关键节点的时间及驻场验收时间；</w:t>
            </w:r>
          </w:p>
          <w:p>
            <w:pPr>
              <w:snapToGrid w:val="0"/>
              <w:spacing w:line="300" w:lineRule="auto"/>
              <w:jc w:val="left"/>
              <w:rPr>
                <w:rFonts w:hint="eastAsia" w:ascii="Calibri" w:hAnsi="Calibri" w:eastAsia="宋体" w:cs="Times New Roman"/>
                <w:color w:val="auto"/>
                <w:kern w:val="2"/>
                <w:sz w:val="24"/>
                <w:szCs w:val="24"/>
                <w:highlight w:val="none"/>
                <w:lang w:val="en-US" w:eastAsia="zh-CN" w:bidi="ar-SA"/>
              </w:rPr>
            </w:pPr>
            <w:r>
              <w:rPr>
                <w:rFonts w:hint="eastAsia"/>
                <w:color w:val="auto"/>
                <w:sz w:val="24"/>
                <w:highlight w:val="none"/>
              </w:rPr>
              <w:t>提供的方案完全满足且优于本项目需求得</w:t>
            </w:r>
            <w:r>
              <w:rPr>
                <w:rFonts w:hint="eastAsia"/>
                <w:color w:val="auto"/>
                <w:sz w:val="24"/>
                <w:highlight w:val="none"/>
                <w:lang w:val="en-US" w:eastAsia="zh-CN"/>
              </w:rPr>
              <w:t>3</w:t>
            </w:r>
            <w:r>
              <w:rPr>
                <w:rFonts w:hint="eastAsia"/>
                <w:color w:val="auto"/>
                <w:sz w:val="24"/>
                <w:highlight w:val="none"/>
              </w:rPr>
              <w:t>分；内容</w:t>
            </w:r>
            <w:r>
              <w:rPr>
                <w:rFonts w:hint="eastAsia"/>
                <w:color w:val="auto"/>
                <w:sz w:val="24"/>
                <w:highlight w:val="none"/>
                <w:lang w:val="en-US" w:eastAsia="zh-CN"/>
              </w:rPr>
              <w:t>完整</w:t>
            </w:r>
            <w:r>
              <w:rPr>
                <w:rFonts w:hint="eastAsia"/>
                <w:color w:val="auto"/>
                <w:sz w:val="24"/>
                <w:highlight w:val="none"/>
              </w:rPr>
              <w:t xml:space="preserve">与本项目相符得 </w:t>
            </w:r>
            <w:r>
              <w:rPr>
                <w:rFonts w:hint="eastAsia"/>
                <w:color w:val="auto"/>
                <w:sz w:val="24"/>
                <w:highlight w:val="none"/>
                <w:lang w:val="en-US" w:eastAsia="zh-CN"/>
              </w:rPr>
              <w:t>2</w:t>
            </w:r>
            <w:r>
              <w:rPr>
                <w:rFonts w:hint="eastAsia"/>
                <w:color w:val="auto"/>
                <w:sz w:val="24"/>
                <w:highlight w:val="none"/>
              </w:rPr>
              <w:t>分；所提供的内容有缺失的得</w:t>
            </w:r>
            <w:r>
              <w:rPr>
                <w:rFonts w:hint="eastAsia"/>
                <w:color w:val="auto"/>
                <w:sz w:val="24"/>
                <w:highlight w:val="none"/>
                <w:lang w:val="en-US" w:eastAsia="zh-CN"/>
              </w:rPr>
              <w:t>1</w:t>
            </w:r>
            <w:r>
              <w:rPr>
                <w:rFonts w:hint="eastAsia"/>
                <w:color w:val="auto"/>
                <w:sz w:val="24"/>
                <w:highlight w:val="none"/>
              </w:rPr>
              <w:t>分，不满足项目需求或未提供得0分。</w:t>
            </w:r>
          </w:p>
        </w:tc>
        <w:tc>
          <w:tcPr>
            <w:tcW w:w="822" w:type="dxa"/>
            <w:vAlign w:val="center"/>
          </w:tcPr>
          <w:p>
            <w:pPr>
              <w:jc w:val="center"/>
              <w:rPr>
                <w:rFonts w:hint="eastAsia" w:ascii="Calibri" w:hAnsi="Calibri" w:cs="Times New Roman" w:eastAsiaTheme="minorEastAsia"/>
                <w:color w:val="auto"/>
                <w:kern w:val="2"/>
                <w:sz w:val="24"/>
                <w:szCs w:val="24"/>
                <w:highlight w:val="none"/>
                <w:lang w:val="en-US" w:eastAsia="zh-CN" w:bidi="ar-SA"/>
              </w:rPr>
            </w:pPr>
            <w:r>
              <w:rPr>
                <w:rFonts w:hint="eastAsia" w:eastAsiaTheme="minorEastAsia"/>
                <w:color w:val="auto"/>
                <w:sz w:val="24"/>
                <w:highlight w:val="none"/>
              </w:rPr>
              <w:t>0-</w:t>
            </w:r>
            <w:r>
              <w:rPr>
                <w:rFonts w:hint="eastAsia" w:eastAsiaTheme="minorEastAsia"/>
                <w:color w:val="auto"/>
                <w:sz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1" w:type="dxa"/>
            <w:vMerge w:val="continue"/>
            <w:vAlign w:val="center"/>
          </w:tcPr>
          <w:p>
            <w:pPr>
              <w:jc w:val="center"/>
              <w:rPr>
                <w:rFonts w:hint="default"/>
                <w:color w:val="auto"/>
                <w:sz w:val="24"/>
                <w:szCs w:val="24"/>
                <w:highlight w:val="none"/>
                <w:vertAlign w:val="baseline"/>
                <w:lang w:val="en-US" w:eastAsia="zh-CN"/>
              </w:rPr>
            </w:pPr>
          </w:p>
        </w:tc>
        <w:tc>
          <w:tcPr>
            <w:tcW w:w="902" w:type="dxa"/>
            <w:vAlign w:val="center"/>
          </w:tcPr>
          <w:p>
            <w:pPr>
              <w:keepNext w:val="0"/>
              <w:keepLines w:val="0"/>
              <w:pageBreakBefore w:val="0"/>
              <w:kinsoku/>
              <w:wordWrap/>
              <w:overflowPunct/>
              <w:topLinePunct w:val="0"/>
              <w:autoSpaceDE/>
              <w:autoSpaceDN/>
              <w:bidi w:val="0"/>
              <w:snapToGrid w:val="0"/>
              <w:spacing w:line="300" w:lineRule="auto"/>
              <w:jc w:val="center"/>
              <w:textAlignment w:val="auto"/>
              <w:rPr>
                <w:rFonts w:hint="eastAsia" w:ascii="宋体" w:hAnsi="宋体" w:cs="宋体" w:eastAsiaTheme="minorEastAsia"/>
                <w:color w:val="auto"/>
                <w:kern w:val="2"/>
                <w:sz w:val="24"/>
                <w:szCs w:val="24"/>
                <w:highlight w:val="none"/>
                <w:lang w:val="en-US" w:eastAsia="zh-CN" w:bidi="ar-SA"/>
              </w:rPr>
            </w:pPr>
            <w:r>
              <w:rPr>
                <w:rFonts w:hint="eastAsia" w:ascii="宋体" w:hAnsi="宋体" w:cs="宋体" w:eastAsiaTheme="minorEastAsia"/>
                <w:color w:val="auto"/>
                <w:sz w:val="24"/>
                <w:szCs w:val="24"/>
                <w:highlight w:val="none"/>
                <w:lang w:val="en-US" w:eastAsia="zh-CN"/>
              </w:rPr>
              <w:t>定期巡检</w:t>
            </w:r>
          </w:p>
        </w:tc>
        <w:tc>
          <w:tcPr>
            <w:tcW w:w="7474" w:type="dxa"/>
            <w:vAlign w:val="center"/>
          </w:tcPr>
          <w:p>
            <w:pPr>
              <w:keepNext w:val="0"/>
              <w:keepLines w:val="0"/>
              <w:pageBreakBefore w:val="0"/>
              <w:numPr>
                <w:ilvl w:val="0"/>
                <w:numId w:val="0"/>
              </w:numPr>
              <w:kinsoku/>
              <w:wordWrap/>
              <w:overflowPunct/>
              <w:topLinePunct w:val="0"/>
              <w:autoSpaceDE/>
              <w:autoSpaceDN/>
              <w:bidi w:val="0"/>
              <w:snapToGrid w:val="0"/>
              <w:spacing w:line="300" w:lineRule="auto"/>
              <w:ind w:left="0" w:leftChars="0" w:firstLine="0" w:firstLineChars="0"/>
              <w:jc w:val="left"/>
              <w:textAlignment w:val="auto"/>
              <w:rPr>
                <w:rFonts w:hint="eastAsia" w:ascii="Calibri" w:hAnsi="Calibri" w:eastAsia="宋体" w:cs="Times New Roman"/>
                <w:color w:val="auto"/>
                <w:kern w:val="2"/>
                <w:sz w:val="24"/>
                <w:szCs w:val="24"/>
                <w:highlight w:val="none"/>
                <w:lang w:val="en-US" w:eastAsia="zh-CN" w:bidi="ar-SA"/>
              </w:rPr>
            </w:pPr>
            <w:r>
              <w:rPr>
                <w:rFonts w:hint="eastAsia" w:cs="Times New Roman"/>
                <w:color w:val="auto"/>
                <w:kern w:val="2"/>
                <w:sz w:val="24"/>
                <w:szCs w:val="24"/>
                <w:highlight w:val="none"/>
                <w:lang w:val="en-US" w:eastAsia="zh-CN" w:bidi="ar-SA"/>
              </w:rPr>
              <w:t>保修期内提供基础巡检1次，在此基础上，每增加一次定期巡检得1分，满分2分，未提供不得分。</w:t>
            </w:r>
          </w:p>
        </w:tc>
        <w:tc>
          <w:tcPr>
            <w:tcW w:w="822" w:type="dxa"/>
            <w:vAlign w:val="center"/>
          </w:tcPr>
          <w:p>
            <w:pPr>
              <w:jc w:val="center"/>
              <w:rPr>
                <w:rFonts w:hint="default" w:ascii="Calibri" w:hAnsi="Calibri" w:eastAsia="宋体" w:cs="Times New Roman"/>
                <w:color w:val="auto"/>
                <w:kern w:val="2"/>
                <w:sz w:val="24"/>
                <w:szCs w:val="24"/>
                <w:highlight w:val="none"/>
                <w:vertAlign w:val="baseline"/>
                <w:lang w:val="en-US" w:eastAsia="zh-CN" w:bidi="ar-SA"/>
              </w:rPr>
            </w:pPr>
            <w:r>
              <w:rPr>
                <w:rFonts w:hint="eastAsia"/>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1" w:type="dxa"/>
            <w:vMerge w:val="continue"/>
            <w:vAlign w:val="center"/>
          </w:tcPr>
          <w:p>
            <w:pPr>
              <w:jc w:val="center"/>
              <w:rPr>
                <w:rFonts w:hint="eastAsia"/>
                <w:color w:val="auto"/>
                <w:sz w:val="24"/>
                <w:szCs w:val="24"/>
                <w:highlight w:val="none"/>
                <w:vertAlign w:val="baseline"/>
                <w:lang w:val="en-US" w:eastAsia="zh-CN"/>
              </w:rPr>
            </w:pPr>
          </w:p>
        </w:tc>
        <w:tc>
          <w:tcPr>
            <w:tcW w:w="902" w:type="dxa"/>
            <w:vMerge w:val="restart"/>
            <w:vAlign w:val="center"/>
          </w:tcPr>
          <w:p>
            <w:pPr>
              <w:keepNext w:val="0"/>
              <w:keepLines w:val="0"/>
              <w:pageBreakBefore w:val="0"/>
              <w:kinsoku/>
              <w:wordWrap/>
              <w:overflowPunct/>
              <w:topLinePunct w:val="0"/>
              <w:autoSpaceDE/>
              <w:autoSpaceDN/>
              <w:bidi w:val="0"/>
              <w:snapToGrid w:val="0"/>
              <w:spacing w:line="300" w:lineRule="auto"/>
              <w:jc w:val="center"/>
              <w:textAlignment w:val="auto"/>
              <w:rPr>
                <w:rFonts w:hint="default" w:ascii="宋体" w:hAnsi="宋体" w:cs="宋体" w:eastAsiaTheme="minorEastAsia"/>
                <w:color w:val="auto"/>
                <w:kern w:val="2"/>
                <w:sz w:val="24"/>
                <w:szCs w:val="24"/>
                <w:highlight w:val="none"/>
                <w:lang w:val="en-US" w:eastAsia="zh-CN" w:bidi="ar-SA"/>
              </w:rPr>
            </w:pPr>
            <w:r>
              <w:rPr>
                <w:rFonts w:hint="eastAsia" w:ascii="宋体" w:hAnsi="宋体" w:cs="宋体" w:eastAsiaTheme="minorEastAsia"/>
                <w:color w:val="auto"/>
                <w:sz w:val="24"/>
                <w:szCs w:val="24"/>
                <w:highlight w:val="none"/>
                <w:lang w:val="en-US" w:eastAsia="zh-CN"/>
              </w:rPr>
              <w:t>售后服务</w:t>
            </w:r>
          </w:p>
          <w:p>
            <w:pPr>
              <w:keepNext w:val="0"/>
              <w:keepLines w:val="0"/>
              <w:pageBreakBefore w:val="0"/>
              <w:kinsoku/>
              <w:wordWrap/>
              <w:overflowPunct/>
              <w:topLinePunct w:val="0"/>
              <w:autoSpaceDE/>
              <w:autoSpaceDN/>
              <w:bidi w:val="0"/>
              <w:snapToGrid w:val="0"/>
              <w:spacing w:line="300" w:lineRule="auto"/>
              <w:jc w:val="center"/>
              <w:textAlignment w:val="auto"/>
              <w:rPr>
                <w:rFonts w:hint="default" w:ascii="宋体" w:hAnsi="宋体" w:cs="宋体" w:eastAsiaTheme="minorEastAsia"/>
                <w:color w:val="auto"/>
                <w:sz w:val="24"/>
                <w:szCs w:val="24"/>
                <w:highlight w:val="none"/>
                <w:lang w:val="en-US" w:eastAsia="zh-CN"/>
              </w:rPr>
            </w:pPr>
          </w:p>
        </w:tc>
        <w:tc>
          <w:tcPr>
            <w:tcW w:w="7474" w:type="dxa"/>
            <w:vAlign w:val="center"/>
          </w:tcPr>
          <w:p>
            <w:pPr>
              <w:snapToGrid w:val="0"/>
              <w:spacing w:line="300" w:lineRule="auto"/>
              <w:jc w:val="left"/>
              <w:rPr>
                <w:color w:val="auto"/>
                <w:sz w:val="24"/>
                <w:highlight w:val="none"/>
              </w:rPr>
            </w:pPr>
            <w:r>
              <w:rPr>
                <w:rFonts w:hint="eastAsia"/>
                <w:color w:val="auto"/>
                <w:sz w:val="24"/>
                <w:highlight w:val="none"/>
              </w:rPr>
              <w:t>结合本项目采购需求，对投标人的售后服务方案进行综合评审：</w:t>
            </w:r>
          </w:p>
          <w:p>
            <w:pPr>
              <w:snapToGrid w:val="0"/>
              <w:spacing w:line="300" w:lineRule="auto"/>
              <w:jc w:val="left"/>
              <w:rPr>
                <w:color w:val="auto"/>
                <w:sz w:val="24"/>
                <w:highlight w:val="none"/>
              </w:rPr>
            </w:pPr>
            <w:r>
              <w:rPr>
                <w:rFonts w:hint="eastAsia"/>
                <w:color w:val="auto"/>
                <w:sz w:val="24"/>
                <w:highlight w:val="none"/>
              </w:rPr>
              <w:t>①</w:t>
            </w:r>
            <w:r>
              <w:rPr>
                <w:rFonts w:hint="eastAsia"/>
                <w:color w:val="auto"/>
                <w:sz w:val="24"/>
                <w:highlight w:val="none"/>
                <w:lang w:val="en-US" w:eastAsia="zh-CN"/>
              </w:rPr>
              <w:t>本地化服务能力</w:t>
            </w:r>
            <w:r>
              <w:rPr>
                <w:rFonts w:hint="eastAsia"/>
                <w:color w:val="auto"/>
                <w:sz w:val="24"/>
                <w:highlight w:val="none"/>
              </w:rPr>
              <w:t>（现有或承诺中标后在长春市设有保修服务机构）；</w:t>
            </w:r>
          </w:p>
          <w:p>
            <w:pPr>
              <w:snapToGrid w:val="0"/>
              <w:spacing w:line="300" w:lineRule="auto"/>
              <w:jc w:val="left"/>
              <w:rPr>
                <w:rFonts w:hint="eastAsia"/>
                <w:color w:val="auto"/>
                <w:sz w:val="24"/>
                <w:highlight w:val="none"/>
              </w:rPr>
            </w:pPr>
            <w:r>
              <w:rPr>
                <w:rFonts w:hint="eastAsia"/>
                <w:color w:val="auto"/>
                <w:sz w:val="24"/>
                <w:highlight w:val="none"/>
              </w:rPr>
              <w:t>零配件供应周期、</w:t>
            </w:r>
            <w:r>
              <w:rPr>
                <w:rFonts w:hint="eastAsia"/>
                <w:color w:val="auto"/>
                <w:sz w:val="24"/>
                <w:highlight w:val="none"/>
                <w:lang w:val="en-US" w:eastAsia="zh-CN"/>
              </w:rPr>
              <w:t>保修期内及保修期外</w:t>
            </w:r>
            <w:r>
              <w:rPr>
                <w:rFonts w:hint="eastAsia"/>
                <w:color w:val="auto"/>
                <w:sz w:val="24"/>
                <w:highlight w:val="none"/>
              </w:rPr>
              <w:t>备品备件（替换件）及耗材的数量</w:t>
            </w:r>
            <w:r>
              <w:rPr>
                <w:rFonts w:hint="eastAsia"/>
                <w:color w:val="auto"/>
                <w:sz w:val="24"/>
                <w:highlight w:val="none"/>
                <w:lang w:val="en-US" w:eastAsia="zh-CN"/>
              </w:rPr>
              <w:t>及价格</w:t>
            </w:r>
            <w:r>
              <w:rPr>
                <w:rFonts w:hint="eastAsia"/>
                <w:color w:val="auto"/>
                <w:sz w:val="24"/>
                <w:highlight w:val="none"/>
              </w:rPr>
              <w:t>明细、工时费等</w:t>
            </w:r>
            <w:r>
              <w:rPr>
                <w:rFonts w:hint="eastAsia"/>
                <w:color w:val="auto"/>
                <w:sz w:val="24"/>
                <w:highlight w:val="none"/>
                <w:lang w:eastAsia="zh-CN"/>
              </w:rPr>
              <w:t>，</w:t>
            </w:r>
            <w:r>
              <w:rPr>
                <w:rFonts w:hint="eastAsia"/>
                <w:color w:val="auto"/>
                <w:sz w:val="24"/>
                <w:highlight w:val="none"/>
                <w:lang w:val="en-US" w:eastAsia="zh-CN"/>
              </w:rPr>
              <w:t>保证产品全寿命周期内价格</w:t>
            </w:r>
            <w:r>
              <w:rPr>
                <w:rFonts w:hint="default"/>
                <w:color w:val="auto"/>
                <w:sz w:val="24"/>
                <w:highlight w:val="none"/>
                <w:lang w:val="en-US" w:eastAsia="zh-CN"/>
              </w:rPr>
              <w:t>不超过清单价格</w:t>
            </w:r>
            <w:r>
              <w:rPr>
                <w:rFonts w:hint="eastAsia"/>
                <w:color w:val="auto"/>
                <w:sz w:val="24"/>
                <w:highlight w:val="none"/>
              </w:rPr>
              <w:t>；</w:t>
            </w:r>
          </w:p>
          <w:p>
            <w:pPr>
              <w:snapToGrid w:val="0"/>
              <w:spacing w:line="300" w:lineRule="auto"/>
              <w:jc w:val="left"/>
              <w:rPr>
                <w:rFonts w:hint="eastAsia" w:asciiTheme="minorHAnsi" w:hAnsiTheme="minorHAnsi" w:eastAsiaTheme="minorEastAsia" w:cstheme="minorBidi"/>
                <w:color w:val="auto"/>
                <w:kern w:val="2"/>
                <w:sz w:val="24"/>
                <w:szCs w:val="24"/>
                <w:highlight w:val="none"/>
                <w:lang w:val="en-US" w:eastAsia="zh-CN" w:bidi="ar-SA"/>
              </w:rPr>
            </w:pPr>
            <w:r>
              <w:rPr>
                <w:rFonts w:hint="eastAsia"/>
                <w:color w:val="auto"/>
                <w:sz w:val="24"/>
                <w:highlight w:val="none"/>
              </w:rPr>
              <w:t>提供的方案完全满足且优于本项目需求得</w:t>
            </w:r>
            <w:r>
              <w:rPr>
                <w:rFonts w:hint="eastAsia"/>
                <w:color w:val="auto"/>
                <w:sz w:val="24"/>
                <w:highlight w:val="none"/>
                <w:lang w:val="en-US" w:eastAsia="zh-CN"/>
              </w:rPr>
              <w:t>3</w:t>
            </w:r>
            <w:r>
              <w:rPr>
                <w:rFonts w:hint="eastAsia"/>
                <w:color w:val="auto"/>
                <w:sz w:val="24"/>
                <w:highlight w:val="none"/>
              </w:rPr>
              <w:t>分；内容</w:t>
            </w:r>
            <w:r>
              <w:rPr>
                <w:rFonts w:hint="eastAsia"/>
                <w:color w:val="auto"/>
                <w:sz w:val="24"/>
                <w:highlight w:val="none"/>
                <w:lang w:val="en-US" w:eastAsia="zh-CN"/>
              </w:rPr>
              <w:t>完整</w:t>
            </w:r>
            <w:r>
              <w:rPr>
                <w:rFonts w:hint="eastAsia"/>
                <w:color w:val="auto"/>
                <w:sz w:val="24"/>
                <w:highlight w:val="none"/>
              </w:rPr>
              <w:t xml:space="preserve">与本项目相符得 </w:t>
            </w:r>
            <w:r>
              <w:rPr>
                <w:rFonts w:hint="eastAsia"/>
                <w:color w:val="auto"/>
                <w:sz w:val="24"/>
                <w:highlight w:val="none"/>
                <w:lang w:val="en-US" w:eastAsia="zh-CN"/>
              </w:rPr>
              <w:t>2</w:t>
            </w:r>
            <w:r>
              <w:rPr>
                <w:rFonts w:hint="eastAsia"/>
                <w:color w:val="auto"/>
                <w:sz w:val="24"/>
                <w:highlight w:val="none"/>
              </w:rPr>
              <w:t>分；所提供的内容有缺失的得</w:t>
            </w:r>
            <w:r>
              <w:rPr>
                <w:rFonts w:hint="eastAsia"/>
                <w:color w:val="auto"/>
                <w:sz w:val="24"/>
                <w:highlight w:val="none"/>
                <w:lang w:val="en-US" w:eastAsia="zh-CN"/>
              </w:rPr>
              <w:t>1</w:t>
            </w:r>
            <w:r>
              <w:rPr>
                <w:rFonts w:hint="eastAsia"/>
                <w:color w:val="auto"/>
                <w:sz w:val="24"/>
                <w:highlight w:val="none"/>
              </w:rPr>
              <w:t>分，不满足项目需求或未提供得0分。</w:t>
            </w:r>
          </w:p>
        </w:tc>
        <w:tc>
          <w:tcPr>
            <w:tcW w:w="822" w:type="dxa"/>
            <w:vAlign w:val="center"/>
          </w:tcPr>
          <w:p>
            <w:pPr>
              <w:jc w:val="center"/>
              <w:rPr>
                <w:rFonts w:hint="eastAsia" w:ascii="Calibri" w:hAnsi="Calibri" w:cs="Times New Roman" w:eastAsiaTheme="minorEastAsia"/>
                <w:color w:val="auto"/>
                <w:kern w:val="2"/>
                <w:sz w:val="24"/>
                <w:szCs w:val="24"/>
                <w:highlight w:val="none"/>
                <w:lang w:val="en-US" w:eastAsia="zh-CN" w:bidi="ar-SA"/>
              </w:rPr>
            </w:pPr>
            <w:r>
              <w:rPr>
                <w:rFonts w:hint="eastAsia" w:eastAsiaTheme="minorEastAsia"/>
                <w:color w:val="auto"/>
                <w:sz w:val="24"/>
                <w:highlight w:val="none"/>
              </w:rPr>
              <w:t>0-</w:t>
            </w:r>
            <w:r>
              <w:rPr>
                <w:rFonts w:hint="eastAsia" w:eastAsiaTheme="minorEastAsia"/>
                <w:color w:val="auto"/>
                <w:sz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1" w:type="dxa"/>
            <w:vMerge w:val="continue"/>
            <w:vAlign w:val="center"/>
          </w:tcPr>
          <w:p>
            <w:pPr>
              <w:jc w:val="center"/>
              <w:rPr>
                <w:rFonts w:hint="eastAsia"/>
                <w:color w:val="auto"/>
                <w:sz w:val="24"/>
                <w:szCs w:val="24"/>
                <w:highlight w:val="none"/>
                <w:vertAlign w:val="baseline"/>
                <w:lang w:val="en-US" w:eastAsia="zh-CN"/>
              </w:rPr>
            </w:pPr>
          </w:p>
        </w:tc>
        <w:tc>
          <w:tcPr>
            <w:tcW w:w="902" w:type="dxa"/>
            <w:vMerge w:val="continue"/>
            <w:vAlign w:val="center"/>
          </w:tcPr>
          <w:p>
            <w:pPr>
              <w:keepNext w:val="0"/>
              <w:keepLines w:val="0"/>
              <w:pageBreakBefore w:val="0"/>
              <w:kinsoku/>
              <w:wordWrap/>
              <w:overflowPunct/>
              <w:topLinePunct w:val="0"/>
              <w:autoSpaceDE/>
              <w:autoSpaceDN/>
              <w:bidi w:val="0"/>
              <w:snapToGrid w:val="0"/>
              <w:spacing w:line="300" w:lineRule="auto"/>
              <w:jc w:val="center"/>
              <w:textAlignment w:val="auto"/>
              <w:rPr>
                <w:rFonts w:hint="eastAsia" w:ascii="宋体" w:hAnsi="宋体" w:cs="宋体" w:eastAsiaTheme="minorEastAsia"/>
                <w:color w:val="auto"/>
                <w:sz w:val="24"/>
                <w:szCs w:val="24"/>
                <w:highlight w:val="none"/>
                <w:lang w:val="en-US" w:eastAsia="zh-CN"/>
              </w:rPr>
            </w:pPr>
          </w:p>
        </w:tc>
        <w:tc>
          <w:tcPr>
            <w:tcW w:w="7474" w:type="dxa"/>
            <w:vAlign w:val="center"/>
          </w:tcPr>
          <w:p>
            <w:pPr>
              <w:snapToGrid w:val="0"/>
              <w:spacing w:line="300" w:lineRule="auto"/>
              <w:jc w:val="left"/>
              <w:rPr>
                <w:color w:val="auto"/>
                <w:sz w:val="24"/>
                <w:highlight w:val="none"/>
              </w:rPr>
            </w:pPr>
            <w:r>
              <w:rPr>
                <w:rFonts w:hint="eastAsia"/>
                <w:color w:val="auto"/>
                <w:sz w:val="24"/>
                <w:highlight w:val="none"/>
              </w:rPr>
              <w:t>②售后服务人员安排计划；定期安排技术人员针对产品的使用环境、使用频率及更新等进行回访、维护等方案；</w:t>
            </w:r>
          </w:p>
          <w:p>
            <w:pPr>
              <w:tabs>
                <w:tab w:val="left" w:pos="2690"/>
              </w:tabs>
              <w:snapToGrid w:val="0"/>
              <w:spacing w:line="300" w:lineRule="auto"/>
              <w:jc w:val="left"/>
              <w:rPr>
                <w:rFonts w:hint="eastAsia" w:asciiTheme="minorHAnsi" w:hAnsiTheme="minorHAnsi" w:eastAsiaTheme="minorEastAsia" w:cstheme="minorBidi"/>
                <w:color w:val="auto"/>
                <w:kern w:val="2"/>
                <w:sz w:val="24"/>
                <w:szCs w:val="24"/>
                <w:highlight w:val="none"/>
                <w:lang w:val="en-US" w:eastAsia="zh-CN" w:bidi="ar-SA"/>
              </w:rPr>
            </w:pPr>
            <w:r>
              <w:rPr>
                <w:rFonts w:hint="eastAsia"/>
                <w:color w:val="auto"/>
                <w:sz w:val="24"/>
                <w:highlight w:val="none"/>
              </w:rPr>
              <w:t>提供的方案完全满足且优于本项目需求得</w:t>
            </w:r>
            <w:r>
              <w:rPr>
                <w:rFonts w:hint="eastAsia"/>
                <w:color w:val="auto"/>
                <w:sz w:val="24"/>
                <w:highlight w:val="none"/>
                <w:lang w:val="en-US" w:eastAsia="zh-CN"/>
              </w:rPr>
              <w:t>3</w:t>
            </w:r>
            <w:r>
              <w:rPr>
                <w:rFonts w:hint="eastAsia"/>
                <w:color w:val="auto"/>
                <w:sz w:val="24"/>
                <w:highlight w:val="none"/>
              </w:rPr>
              <w:t>分；内容</w:t>
            </w:r>
            <w:r>
              <w:rPr>
                <w:rFonts w:hint="eastAsia"/>
                <w:color w:val="auto"/>
                <w:sz w:val="24"/>
                <w:highlight w:val="none"/>
                <w:lang w:val="en-US" w:eastAsia="zh-CN"/>
              </w:rPr>
              <w:t>完整</w:t>
            </w:r>
            <w:r>
              <w:rPr>
                <w:rFonts w:hint="eastAsia"/>
                <w:color w:val="auto"/>
                <w:sz w:val="24"/>
                <w:highlight w:val="none"/>
              </w:rPr>
              <w:t xml:space="preserve">与本项目相符得 </w:t>
            </w:r>
            <w:r>
              <w:rPr>
                <w:rFonts w:hint="eastAsia"/>
                <w:color w:val="auto"/>
                <w:sz w:val="24"/>
                <w:highlight w:val="none"/>
                <w:lang w:val="en-US" w:eastAsia="zh-CN"/>
              </w:rPr>
              <w:t>2</w:t>
            </w:r>
            <w:r>
              <w:rPr>
                <w:rFonts w:hint="eastAsia"/>
                <w:color w:val="auto"/>
                <w:sz w:val="24"/>
                <w:highlight w:val="none"/>
              </w:rPr>
              <w:t>分；所提供的内容有缺失的得</w:t>
            </w:r>
            <w:r>
              <w:rPr>
                <w:rFonts w:hint="eastAsia"/>
                <w:color w:val="auto"/>
                <w:sz w:val="24"/>
                <w:highlight w:val="none"/>
                <w:lang w:val="en-US" w:eastAsia="zh-CN"/>
              </w:rPr>
              <w:t>1</w:t>
            </w:r>
            <w:r>
              <w:rPr>
                <w:rFonts w:hint="eastAsia"/>
                <w:color w:val="auto"/>
                <w:sz w:val="24"/>
                <w:highlight w:val="none"/>
              </w:rPr>
              <w:t>分，不满足项目需求或未提供得0分。</w:t>
            </w:r>
          </w:p>
        </w:tc>
        <w:tc>
          <w:tcPr>
            <w:tcW w:w="822" w:type="dxa"/>
            <w:vAlign w:val="center"/>
          </w:tcPr>
          <w:p>
            <w:pPr>
              <w:jc w:val="center"/>
              <w:rPr>
                <w:rFonts w:hint="eastAsia" w:ascii="Calibri" w:hAnsi="Calibri" w:cs="Times New Roman" w:eastAsiaTheme="minorEastAsia"/>
                <w:color w:val="auto"/>
                <w:kern w:val="2"/>
                <w:sz w:val="24"/>
                <w:szCs w:val="24"/>
                <w:highlight w:val="none"/>
                <w:lang w:val="en-US" w:eastAsia="zh-CN" w:bidi="ar-SA"/>
              </w:rPr>
            </w:pPr>
            <w:r>
              <w:rPr>
                <w:rFonts w:hint="eastAsia" w:eastAsiaTheme="minorEastAsia"/>
                <w:color w:val="auto"/>
                <w:sz w:val="24"/>
                <w:highlight w:val="none"/>
              </w:rPr>
              <w:t>0-</w:t>
            </w:r>
            <w:r>
              <w:rPr>
                <w:rFonts w:hint="eastAsia" w:eastAsiaTheme="minorEastAsia"/>
                <w:color w:val="auto"/>
                <w:sz w:val="24"/>
                <w:highlight w:val="none"/>
                <w:lang w:val="en-US" w:eastAsia="zh-CN"/>
              </w:rPr>
              <w:t>3</w:t>
            </w:r>
          </w:p>
        </w:tc>
      </w:tr>
    </w:tbl>
    <w:p>
      <w:pPr>
        <w:pStyle w:val="3"/>
        <w:adjustRightInd w:val="0"/>
        <w:snapToGrid w:val="0"/>
        <w:spacing w:before="0" w:after="0" w:line="240" w:lineRule="auto"/>
        <w:rPr>
          <w:rFonts w:hint="eastAsia" w:ascii="宋体" w:hAnsi="宋体" w:eastAsia="宋体" w:cs="宋体"/>
          <w:color w:val="auto"/>
          <w:sz w:val="24"/>
          <w:szCs w:val="24"/>
          <w:highlight w:val="none"/>
        </w:rPr>
      </w:pPr>
      <w:r>
        <w:rPr>
          <w:rFonts w:hint="eastAsia" w:ascii="宋体" w:hAnsi="宋体" w:eastAsia="宋体" w:cs="宋体"/>
          <w:bCs/>
          <w:color w:val="auto"/>
          <w:kern w:val="2"/>
          <w:sz w:val="24"/>
          <w:szCs w:val="24"/>
          <w:highlight w:val="none"/>
          <w:lang w:val="en-US" w:eastAsia="zh-CN"/>
        </w:rPr>
        <w:t xml:space="preserve"> </w:t>
      </w:r>
      <w:r>
        <w:rPr>
          <w:rFonts w:hint="eastAsia" w:ascii="宋体" w:hAnsi="宋体" w:eastAsia="宋体" w:cs="宋体"/>
          <w:bCs/>
          <w:color w:val="auto"/>
          <w:kern w:val="2"/>
          <w:sz w:val="24"/>
          <w:szCs w:val="24"/>
          <w:highlight w:val="none"/>
          <w:lang w:val="zh-CN"/>
        </w:rPr>
        <w:t>注：</w:t>
      </w:r>
      <w:r>
        <w:rPr>
          <w:rFonts w:hint="eastAsia" w:ascii="宋体" w:hAnsi="宋体" w:eastAsia="宋体" w:cs="宋体"/>
          <w:color w:val="auto"/>
          <w:sz w:val="24"/>
          <w:szCs w:val="24"/>
          <w:highlight w:val="none"/>
        </w:rPr>
        <w:t>（1）样品须标记项目名称、标段号、产品名称、投标单位名称。</w:t>
      </w:r>
    </w:p>
    <w:p>
      <w:pPr>
        <w:pStyle w:val="3"/>
        <w:adjustRightInd w:val="0"/>
        <w:snapToGrid w:val="0"/>
        <w:spacing w:before="0" w:after="0" w:line="240" w:lineRule="auto"/>
        <w:ind w:firstLine="482" w:firstLineChars="200"/>
        <w:rPr>
          <w:rFonts w:hint="eastAsia" w:ascii="宋体" w:hAnsi="宋体" w:eastAsia="宋体" w:cs="宋体"/>
          <w:b w:val="0"/>
          <w:bCs/>
          <w:color w:val="auto"/>
          <w:kern w:val="2"/>
          <w:sz w:val="24"/>
          <w:szCs w:val="24"/>
          <w:highlight w:val="none"/>
          <w:lang w:val="zh-CN"/>
        </w:rPr>
      </w:pPr>
      <w:bookmarkStart w:id="60" w:name="_Toc5568"/>
      <w:bookmarkStart w:id="61" w:name="_Toc22803"/>
      <w:bookmarkStart w:id="62" w:name="_Toc32514"/>
      <w:r>
        <w:rPr>
          <w:rFonts w:hint="eastAsia" w:ascii="宋体" w:hAnsi="宋体" w:eastAsia="宋体" w:cs="宋体"/>
          <w:color w:val="auto"/>
          <w:sz w:val="24"/>
          <w:szCs w:val="24"/>
          <w:highlight w:val="none"/>
        </w:rPr>
        <w:t>（2）采购活动结束后，中标人提供的样品采购人将统一保管封存，并作为履约验收的参考，未中标人提供样品须在接到返还通知后5个工作日内到采购代理机构领取，逾期未领取的样品采购代理机构有权自行处理。</w:t>
      </w:r>
      <w:bookmarkEnd w:id="60"/>
      <w:bookmarkEnd w:id="61"/>
      <w:bookmarkEnd w:id="62"/>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评标总得分＝F1×A1＋F2×A2＋……＋Fn×An</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F1、F2……Fn分别为各项评审因素的得分；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A1、A2、……An 分别为各项评审因素所占的权重(A1＋A2＋……＋An＝1)。</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1.3.2.2评标委员会在评审时，价格分加分：</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对于列入财政部、国家环保总局发布的《环境标志产品政府采购清单》的产品，对其投标价格给予3%的价格扣除，并按照扣除后的价格参加排序。采购项目或者分包中既包含环境标志产品也包含非环境标志产品的，只对列入《环境标志产品政府采购清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发布的《节能产品政府采购清单》但不属于国家强制采购的产品，对其投标价格给予3%的价格扣除，并按照扣除后的价格参加排序。采购项目或者分包中既包含节能产品也包含非节能产品的，只对列入《节能产品政府采购清单》但不属于国家强制采购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对于</w:t>
      </w:r>
      <w:r>
        <w:rPr>
          <w:rFonts w:hint="eastAsia" w:ascii="宋体" w:hAnsi="宋体" w:cs="宋体"/>
          <w:color w:val="auto"/>
          <w:sz w:val="24"/>
          <w:highlight w:val="none"/>
          <w:lang w:val="en-US" w:eastAsia="zh-CN"/>
        </w:rPr>
        <w:t>投标人</w:t>
      </w:r>
      <w:r>
        <w:rPr>
          <w:rFonts w:hint="eastAsia" w:ascii="宋体" w:hAnsi="宋体" w:eastAsia="宋体" w:cs="宋体"/>
          <w:color w:val="auto"/>
          <w:sz w:val="24"/>
          <w:szCs w:val="24"/>
          <w:highlight w:val="none"/>
        </w:rPr>
        <w:t>所提供产品纳入财政部公布的《政府采购自主创新产品目录》的产品，按照《财政部关于印发〈自主创新产品政府采购评审办法〉的通知》（财库[2008]30号）文件规定执行。采购项目或者分包中既包含自主创新产品也包含非自主创新产品的，只对纳入《政府采购自主创新产品目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信息产业部发布的《无线局域网认证产品政府采购清单》的产品，对其投标价格给予3%的价格扣除，并按扣除后的价格参加排序。采购项目或者分包中既包含清单中产品也包含非清单中产品的，只对列入清单的产品按其在总报价中所占的比例给予价格扣除。</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投标产品同时列入上述多个清单的，将上述规定的价格扣除比例叠加后计算价格扣除。</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（5）根据财库【20</w:t>
      </w:r>
      <w:r>
        <w:rPr>
          <w:rFonts w:hint="eastAsia" w:ascii="宋体" w:hAnsi="宋体" w:cs="宋体"/>
          <w:color w:val="auto"/>
          <w:sz w:val="24"/>
          <w:highlight w:val="none"/>
          <w:lang w:val="en-US" w:eastAsia="zh-CN"/>
        </w:rPr>
        <w:t>22</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19</w:t>
      </w:r>
      <w:r>
        <w:rPr>
          <w:rFonts w:hint="eastAsia" w:ascii="宋体" w:hAnsi="宋体" w:cs="宋体"/>
          <w:color w:val="auto"/>
          <w:sz w:val="24"/>
          <w:highlight w:val="none"/>
        </w:rPr>
        <w:t>号文件规定，对小型和微型企业的产品给予</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%的价格扣除，并按照扣除后的价格参加排序。</w:t>
      </w:r>
    </w:p>
    <w:p>
      <w:pPr>
        <w:spacing w:line="360" w:lineRule="auto"/>
        <w:ind w:firstLine="240" w:firstLineChars="100"/>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6</w:t>
      </w:r>
      <w:r>
        <w:rPr>
          <w:rFonts w:hint="eastAsia" w:ascii="宋体" w:hAnsi="宋体"/>
          <w:color w:val="auto"/>
          <w:sz w:val="24"/>
          <w:highlight w:val="none"/>
        </w:rPr>
        <w:t>）监狱企业视同小型、微型企业，监狱企业投标的提供由省级以上监狱管理局、戒毒管理局(含新疆生产建设兵团)出具的属于监狱企业的证明文件，不再提供《中小企业声明函》；</w:t>
      </w:r>
    </w:p>
    <w:p>
      <w:pPr>
        <w:spacing w:line="360" w:lineRule="auto"/>
        <w:ind w:firstLine="240" w:firstLineChars="100"/>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7</w:t>
      </w:r>
      <w:r>
        <w:rPr>
          <w:rFonts w:hint="eastAsia" w:ascii="宋体" w:hAnsi="宋体"/>
          <w:color w:val="auto"/>
          <w:sz w:val="24"/>
          <w:highlight w:val="none"/>
        </w:rPr>
        <w:t>）残疾人福利性单位视同小型、微型企业，残疾人福利性单位属于小型、微型企业的，不重复享受政策。符合条件的残疾人福利性单位在参加政府采购活动时，应当提供《残疾人福利性单位声明函》。</w:t>
      </w:r>
    </w:p>
    <w:p>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）价格扣除的依据：第（1）至（4）条提供投标货物相关认证证书复印件加盖投标人公章。第（5）</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7</w:t>
      </w:r>
      <w:r>
        <w:rPr>
          <w:rFonts w:hint="eastAsia" w:ascii="宋体" w:hAnsi="宋体" w:cs="宋体"/>
          <w:color w:val="auto"/>
          <w:sz w:val="24"/>
          <w:highlight w:val="none"/>
          <w:lang w:eastAsia="zh-CN"/>
        </w:rPr>
        <w:t>）</w:t>
      </w:r>
      <w:r>
        <w:rPr>
          <w:rFonts w:hint="eastAsia" w:ascii="宋体" w:hAnsi="宋体" w:cs="宋体"/>
          <w:color w:val="auto"/>
          <w:sz w:val="24"/>
          <w:highlight w:val="none"/>
        </w:rPr>
        <w:t>条提供</w:t>
      </w:r>
      <w:r>
        <w:rPr>
          <w:rFonts w:hint="eastAsia" w:ascii="宋体" w:hAnsi="宋体"/>
          <w:color w:val="auto"/>
          <w:sz w:val="24"/>
          <w:highlight w:val="none"/>
        </w:rPr>
        <w:t>《中小企业声明函》</w:t>
      </w:r>
      <w:r>
        <w:rPr>
          <w:rFonts w:hint="eastAsia" w:ascii="宋体" w:hAnsi="宋体"/>
          <w:color w:val="auto"/>
          <w:sz w:val="24"/>
          <w:highlight w:val="none"/>
          <w:lang w:eastAsia="zh-CN"/>
        </w:rPr>
        <w:t>、</w:t>
      </w:r>
      <w:r>
        <w:rPr>
          <w:rFonts w:hint="eastAsia" w:ascii="宋体" w:hAnsi="宋体"/>
          <w:color w:val="auto"/>
          <w:sz w:val="24"/>
          <w:highlight w:val="none"/>
        </w:rPr>
        <w:t>《残疾人福利性单位声明函》</w:t>
      </w:r>
      <w:r>
        <w:rPr>
          <w:rFonts w:hint="eastAsia" w:ascii="宋体" w:hAnsi="宋体" w:cs="宋体"/>
          <w:color w:val="auto"/>
          <w:sz w:val="24"/>
          <w:highlight w:val="none"/>
        </w:rPr>
        <w:t>。</w:t>
      </w:r>
    </w:p>
    <w:p>
      <w:pPr>
        <w:pStyle w:val="19"/>
        <w:spacing w:beforeAutospacing="0" w:afterAutospacing="0" w:line="360" w:lineRule="auto"/>
        <w:jc w:val="both"/>
        <w:rPr>
          <w:rFonts w:ascii="仿宋_GB2312" w:eastAsia="仿宋_GB2312" w:cs="Times New Roman"/>
          <w:color w:val="auto"/>
          <w:kern w:val="2"/>
          <w:highlight w:val="none"/>
        </w:rPr>
      </w:pPr>
      <w:r>
        <w:rPr>
          <w:rFonts w:hint="eastAsia"/>
          <w:color w:val="auto"/>
          <w:kern w:val="2"/>
          <w:highlight w:val="none"/>
        </w:rPr>
        <w:t>1.4编写评标报告，推荐中标候选</w:t>
      </w:r>
      <w:r>
        <w:rPr>
          <w:rFonts w:hint="eastAsia"/>
          <w:color w:val="auto"/>
          <w:kern w:val="2"/>
          <w:highlight w:val="none"/>
          <w:lang w:val="en-US" w:eastAsia="zh-CN"/>
        </w:rPr>
        <w:t>人</w:t>
      </w:r>
      <w:r>
        <w:rPr>
          <w:rFonts w:hint="eastAsia"/>
          <w:color w:val="auto"/>
          <w:kern w:val="2"/>
          <w:highlight w:val="none"/>
        </w:rPr>
        <w:t>名单：3名。</w:t>
      </w:r>
    </w:p>
    <w:p>
      <w:pPr>
        <w:pStyle w:val="5"/>
        <w:spacing w:line="360" w:lineRule="auto"/>
        <w:jc w:val="center"/>
        <w:outlineLvl w:val="9"/>
        <w:rPr>
          <w:color w:val="auto"/>
          <w:highlight w:val="none"/>
        </w:rPr>
        <w:sectPr>
          <w:headerReference r:id="rId5" w:type="default"/>
          <w:footerReference r:id="rId6" w:type="default"/>
          <w:pgSz w:w="11906" w:h="16838"/>
          <w:pgMar w:top="1361" w:right="1304" w:bottom="1247" w:left="1304" w:header="680" w:footer="680" w:gutter="0"/>
          <w:pgNumType w:start="1"/>
          <w:cols w:space="720" w:num="1"/>
          <w:docGrid w:linePitch="312" w:charSpace="0"/>
        </w:sectPr>
      </w:pPr>
    </w:p>
    <w:p>
      <w:pPr>
        <w:spacing w:line="360" w:lineRule="auto"/>
        <w:jc w:val="center"/>
        <w:outlineLvl w:val="0"/>
        <w:rPr>
          <w:rFonts w:ascii="黑体" w:eastAsia="黑体"/>
          <w:b/>
          <w:color w:val="auto"/>
          <w:sz w:val="36"/>
          <w:szCs w:val="36"/>
          <w:highlight w:val="none"/>
        </w:rPr>
      </w:pPr>
      <w:bookmarkStart w:id="63" w:name="_Toc7895"/>
      <w:bookmarkStart w:id="64" w:name="_Toc32413"/>
      <w:r>
        <w:rPr>
          <w:rFonts w:hint="eastAsia" w:ascii="黑体" w:eastAsia="黑体"/>
          <w:b/>
          <w:color w:val="auto"/>
          <w:sz w:val="36"/>
          <w:szCs w:val="36"/>
          <w:highlight w:val="none"/>
        </w:rPr>
        <w:t>第四章 合同条款（参考格式）</w:t>
      </w:r>
      <w:bookmarkEnd w:id="63"/>
      <w:bookmarkEnd w:id="64"/>
    </w:p>
    <w:p>
      <w:pPr>
        <w:tabs>
          <w:tab w:val="left" w:pos="3600"/>
          <w:tab w:val="left" w:pos="3780"/>
          <w:tab w:val="left" w:pos="3960"/>
        </w:tabs>
        <w:spacing w:line="360" w:lineRule="auto"/>
        <w:jc w:val="center"/>
        <w:rPr>
          <w:b/>
          <w:bCs/>
          <w:color w:val="auto"/>
          <w:spacing w:val="-4"/>
          <w:sz w:val="44"/>
          <w:szCs w:val="44"/>
          <w:highlight w:val="none"/>
        </w:rPr>
      </w:pPr>
    </w:p>
    <w:p>
      <w:pPr>
        <w:tabs>
          <w:tab w:val="left" w:pos="3600"/>
          <w:tab w:val="left" w:pos="3780"/>
          <w:tab w:val="left" w:pos="3960"/>
        </w:tabs>
        <w:spacing w:line="360" w:lineRule="auto"/>
        <w:jc w:val="center"/>
        <w:rPr>
          <w:rFonts w:eastAsiaTheme="minorEastAsia"/>
          <w:b/>
          <w:bCs/>
          <w:color w:val="auto"/>
          <w:spacing w:val="-4"/>
          <w:sz w:val="44"/>
          <w:szCs w:val="44"/>
          <w:highlight w:val="none"/>
        </w:rPr>
      </w:pPr>
      <w:r>
        <w:rPr>
          <w:rFonts w:hint="eastAsia"/>
          <w:b/>
          <w:bCs/>
          <w:color w:val="auto"/>
          <w:spacing w:val="-4"/>
          <w:sz w:val="44"/>
          <w:szCs w:val="44"/>
          <w:highlight w:val="none"/>
        </w:rPr>
        <w:t xml:space="preserve">XXX项目 </w:t>
      </w:r>
    </w:p>
    <w:p>
      <w:pPr>
        <w:tabs>
          <w:tab w:val="left" w:pos="3600"/>
          <w:tab w:val="left" w:pos="3780"/>
          <w:tab w:val="left" w:pos="3960"/>
        </w:tabs>
        <w:spacing w:line="360" w:lineRule="auto"/>
        <w:jc w:val="center"/>
        <w:rPr>
          <w:b/>
          <w:bCs/>
          <w:color w:val="auto"/>
          <w:spacing w:val="-4"/>
          <w:sz w:val="44"/>
          <w:szCs w:val="44"/>
          <w:highlight w:val="none"/>
        </w:rPr>
      </w:pPr>
      <w:r>
        <w:rPr>
          <w:b/>
          <w:bCs/>
          <w:color w:val="auto"/>
          <w:spacing w:val="-4"/>
          <w:sz w:val="44"/>
          <w:szCs w:val="44"/>
          <w:highlight w:val="none"/>
        </w:rPr>
        <w:t>（</w:t>
      </w:r>
      <w:r>
        <w:rPr>
          <w:b/>
          <w:bCs/>
          <w:color w:val="auto"/>
          <w:spacing w:val="-4"/>
          <w:sz w:val="44"/>
          <w:szCs w:val="44"/>
          <w:highlight w:val="none"/>
          <w:u w:val="single"/>
        </w:rPr>
        <w:t>第</w:t>
      </w:r>
      <w:r>
        <w:rPr>
          <w:rFonts w:hint="eastAsia"/>
          <w:b/>
          <w:bCs/>
          <w:color w:val="auto"/>
          <w:spacing w:val="-4"/>
          <w:sz w:val="44"/>
          <w:szCs w:val="44"/>
          <w:highlight w:val="none"/>
          <w:u w:val="single"/>
        </w:rPr>
        <w:t>XX包</w:t>
      </w:r>
      <w:r>
        <w:rPr>
          <w:b/>
          <w:bCs/>
          <w:color w:val="auto"/>
          <w:spacing w:val="-4"/>
          <w:sz w:val="44"/>
          <w:szCs w:val="44"/>
          <w:highlight w:val="none"/>
        </w:rPr>
        <w:t>）</w:t>
      </w:r>
    </w:p>
    <w:p>
      <w:pPr>
        <w:pStyle w:val="10"/>
        <w:rPr>
          <w:color w:val="auto"/>
          <w:highlight w:val="none"/>
        </w:rPr>
      </w:pPr>
    </w:p>
    <w:p>
      <w:pPr>
        <w:rPr>
          <w:color w:val="auto"/>
          <w:highlight w:val="none"/>
        </w:rPr>
      </w:pPr>
    </w:p>
    <w:p>
      <w:pPr>
        <w:ind w:left="-279" w:leftChars="-133" w:right="-315" w:rightChars="-150"/>
        <w:jc w:val="center"/>
        <w:outlineLvl w:val="0"/>
        <w:rPr>
          <w:rFonts w:ascii="Times New Roman" w:eastAsiaTheme="minorEastAsia"/>
          <w:b/>
          <w:bCs/>
          <w:color w:val="auto"/>
          <w:sz w:val="28"/>
          <w:szCs w:val="28"/>
          <w:highlight w:val="none"/>
        </w:rPr>
      </w:pPr>
      <w:bookmarkStart w:id="65" w:name="_Toc26975"/>
      <w:bookmarkStart w:id="66" w:name="_Toc13414"/>
      <w:r>
        <w:rPr>
          <w:rFonts w:hint="eastAsia" w:ascii="宋体" w:hAnsi="宋体"/>
          <w:b/>
          <w:color w:val="auto"/>
          <w:sz w:val="36"/>
          <w:szCs w:val="36"/>
          <w:highlight w:val="none"/>
          <w:u w:val="single"/>
        </w:rPr>
        <w:t>品种：XXXX</w:t>
      </w:r>
      <w:bookmarkEnd w:id="65"/>
      <w:bookmarkEnd w:id="66"/>
    </w:p>
    <w:p>
      <w:pPr>
        <w:widowControl/>
        <w:spacing w:line="360" w:lineRule="auto"/>
        <w:jc w:val="center"/>
        <w:rPr>
          <w:b/>
          <w:color w:val="auto"/>
          <w:kern w:val="0"/>
          <w:sz w:val="24"/>
          <w:highlight w:val="none"/>
        </w:rPr>
      </w:pPr>
    </w:p>
    <w:p>
      <w:pPr>
        <w:widowControl/>
        <w:spacing w:line="360" w:lineRule="auto"/>
        <w:jc w:val="center"/>
        <w:rPr>
          <w:b/>
          <w:color w:val="auto"/>
          <w:kern w:val="0"/>
          <w:sz w:val="72"/>
          <w:szCs w:val="72"/>
          <w:highlight w:val="none"/>
        </w:rPr>
      </w:pPr>
      <w:r>
        <w:rPr>
          <w:rFonts w:hint="eastAsia"/>
          <w:b/>
          <w:color w:val="auto"/>
          <w:kern w:val="0"/>
          <w:sz w:val="72"/>
          <w:szCs w:val="72"/>
          <w:highlight w:val="none"/>
        </w:rPr>
        <w:t>总 体</w:t>
      </w:r>
      <w:r>
        <w:rPr>
          <w:b/>
          <w:color w:val="auto"/>
          <w:kern w:val="0"/>
          <w:sz w:val="72"/>
          <w:szCs w:val="72"/>
          <w:highlight w:val="none"/>
        </w:rPr>
        <w:t xml:space="preserve"> 协 议</w:t>
      </w:r>
      <w:r>
        <w:rPr>
          <w:rFonts w:hint="eastAsia"/>
          <w:b/>
          <w:color w:val="auto"/>
          <w:kern w:val="0"/>
          <w:sz w:val="72"/>
          <w:szCs w:val="72"/>
          <w:highlight w:val="none"/>
        </w:rPr>
        <w:t xml:space="preserve"> </w:t>
      </w:r>
    </w:p>
    <w:p>
      <w:pPr>
        <w:pStyle w:val="32"/>
        <w:spacing w:line="360" w:lineRule="auto"/>
        <w:ind w:right="958"/>
        <w:rPr>
          <w:rFonts w:ascii="Times New Roman" w:cs="Times New Roman"/>
          <w:b/>
          <w:bCs/>
          <w:color w:val="auto"/>
          <w:sz w:val="52"/>
          <w:szCs w:val="52"/>
          <w:highlight w:val="none"/>
        </w:rPr>
      </w:pPr>
    </w:p>
    <w:p>
      <w:pPr>
        <w:pStyle w:val="14"/>
        <w:rPr>
          <w:color w:val="auto"/>
          <w:highlight w:val="none"/>
        </w:rPr>
      </w:pPr>
    </w:p>
    <w:p>
      <w:pPr>
        <w:pStyle w:val="32"/>
        <w:spacing w:line="360" w:lineRule="auto"/>
        <w:ind w:right="958"/>
        <w:rPr>
          <w:rFonts w:ascii="Times New Roman" w:cs="Times New Roman"/>
          <w:b/>
          <w:bCs/>
          <w:color w:val="auto"/>
          <w:sz w:val="52"/>
          <w:szCs w:val="52"/>
          <w:highlight w:val="none"/>
        </w:rPr>
      </w:pPr>
    </w:p>
    <w:p>
      <w:pPr>
        <w:pStyle w:val="32"/>
        <w:spacing w:line="360" w:lineRule="auto"/>
        <w:ind w:right="958"/>
        <w:rPr>
          <w:rFonts w:ascii="Times New Roman" w:cs="Times New Roman"/>
          <w:b/>
          <w:bCs/>
          <w:color w:val="auto"/>
          <w:sz w:val="52"/>
          <w:szCs w:val="52"/>
          <w:highlight w:val="none"/>
        </w:rPr>
      </w:pPr>
    </w:p>
    <w:p>
      <w:pPr>
        <w:pStyle w:val="32"/>
        <w:spacing w:line="360" w:lineRule="auto"/>
        <w:ind w:right="958"/>
        <w:rPr>
          <w:rFonts w:ascii="Times New Roman" w:cs="Times New Roman"/>
          <w:b/>
          <w:bCs/>
          <w:color w:val="auto"/>
          <w:sz w:val="52"/>
          <w:szCs w:val="52"/>
          <w:highlight w:val="none"/>
        </w:rPr>
      </w:pPr>
    </w:p>
    <w:p>
      <w:pPr>
        <w:pStyle w:val="32"/>
        <w:spacing w:line="360" w:lineRule="auto"/>
        <w:ind w:right="958"/>
        <w:rPr>
          <w:rFonts w:ascii="Times New Roman" w:cs="Times New Roman"/>
          <w:b/>
          <w:bCs/>
          <w:color w:val="auto"/>
          <w:sz w:val="30"/>
          <w:szCs w:val="30"/>
          <w:highlight w:val="none"/>
        </w:rPr>
      </w:pPr>
      <w:r>
        <w:rPr>
          <w:rFonts w:ascii="Times New Roman" w:cs="Times New Roman"/>
          <w:b/>
          <w:bCs/>
          <w:color w:val="auto"/>
          <w:sz w:val="30"/>
          <w:szCs w:val="30"/>
          <w:highlight w:val="none"/>
        </w:rPr>
        <w:t xml:space="preserve">         协议编号： </w:t>
      </w:r>
    </w:p>
    <w:p>
      <w:pPr>
        <w:pStyle w:val="32"/>
        <w:spacing w:line="360" w:lineRule="auto"/>
        <w:ind w:right="958" w:firstLine="900" w:firstLineChars="300"/>
        <w:rPr>
          <w:rFonts w:ascii="Times New Roman" w:cs="Times New Roman"/>
          <w:bCs/>
          <w:color w:val="auto"/>
          <w:sz w:val="30"/>
          <w:szCs w:val="30"/>
          <w:highlight w:val="none"/>
        </w:rPr>
      </w:pPr>
      <w:r>
        <w:rPr>
          <w:rFonts w:ascii="Times New Roman" w:cs="Times New Roman"/>
          <w:bCs/>
          <w:color w:val="auto"/>
          <w:sz w:val="30"/>
          <w:szCs w:val="30"/>
          <w:highlight w:val="none"/>
        </w:rPr>
        <w:t xml:space="preserve">甲方（采购人）： </w:t>
      </w:r>
    </w:p>
    <w:p>
      <w:pPr>
        <w:ind w:firstLine="900" w:firstLineChars="300"/>
        <w:rPr>
          <w:rFonts w:ascii="Times New Roman"/>
          <w:bCs/>
          <w:color w:val="auto"/>
          <w:kern w:val="0"/>
          <w:sz w:val="30"/>
          <w:szCs w:val="30"/>
          <w:highlight w:val="none"/>
        </w:rPr>
      </w:pPr>
      <w:r>
        <w:rPr>
          <w:rFonts w:hint="eastAsia" w:ascii="Times New Roman"/>
          <w:bCs/>
          <w:color w:val="auto"/>
          <w:kern w:val="0"/>
          <w:sz w:val="30"/>
          <w:szCs w:val="30"/>
          <w:highlight w:val="none"/>
        </w:rPr>
        <w:t xml:space="preserve">乙方（中标人）： </w:t>
      </w:r>
    </w:p>
    <w:p>
      <w:pPr>
        <w:pStyle w:val="32"/>
        <w:spacing w:line="360" w:lineRule="auto"/>
        <w:ind w:right="958"/>
        <w:jc w:val="center"/>
        <w:rPr>
          <w:rFonts w:ascii="Times New Roman" w:cs="Times New Roman"/>
          <w:bCs/>
          <w:color w:val="auto"/>
          <w:sz w:val="30"/>
          <w:szCs w:val="30"/>
          <w:highlight w:val="none"/>
        </w:rPr>
      </w:pPr>
      <w:r>
        <w:rPr>
          <w:rFonts w:ascii="Times New Roman" w:cs="Times New Roman"/>
          <w:bCs/>
          <w:color w:val="auto"/>
          <w:sz w:val="30"/>
          <w:szCs w:val="30"/>
          <w:highlight w:val="none"/>
        </w:rPr>
        <w:t>二〇二</w:t>
      </w:r>
      <w:r>
        <w:rPr>
          <w:rFonts w:hint="eastAsia" w:ascii="Times New Roman" w:cs="Times New Roman"/>
          <w:bCs/>
          <w:color w:val="auto"/>
          <w:sz w:val="30"/>
          <w:szCs w:val="30"/>
          <w:highlight w:val="none"/>
          <w:lang w:eastAsia="zh-CN"/>
        </w:rPr>
        <w:t>四</w:t>
      </w:r>
      <w:r>
        <w:rPr>
          <w:rFonts w:ascii="Times New Roman" w:cs="Times New Roman"/>
          <w:bCs/>
          <w:color w:val="auto"/>
          <w:sz w:val="30"/>
          <w:szCs w:val="30"/>
          <w:highlight w:val="none"/>
        </w:rPr>
        <w:t>年</w:t>
      </w:r>
      <w:r>
        <w:rPr>
          <w:rFonts w:hint="eastAsia" w:ascii="Times New Roman" w:cs="Times New Roman"/>
          <w:bCs/>
          <w:color w:val="auto"/>
          <w:sz w:val="30"/>
          <w:szCs w:val="30"/>
          <w:highlight w:val="none"/>
        </w:rPr>
        <w:t>XX</w:t>
      </w:r>
      <w:r>
        <w:rPr>
          <w:rFonts w:ascii="Times New Roman" w:cs="Times New Roman"/>
          <w:bCs/>
          <w:color w:val="auto"/>
          <w:sz w:val="30"/>
          <w:szCs w:val="30"/>
          <w:highlight w:val="none"/>
        </w:rPr>
        <w:t>月</w:t>
      </w:r>
    </w:p>
    <w:p>
      <w:pPr>
        <w:widowControl/>
        <w:jc w:val="left"/>
        <w:rPr>
          <w:color w:val="auto"/>
          <w:highlight w:val="none"/>
        </w:rPr>
      </w:pPr>
    </w:p>
    <w:p>
      <w:pPr>
        <w:widowControl/>
        <w:adjustRightInd w:val="0"/>
        <w:snapToGrid w:val="0"/>
        <w:spacing w:line="360" w:lineRule="auto"/>
        <w:jc w:val="left"/>
        <w:rPr>
          <w:color w:val="auto"/>
          <w:kern w:val="0"/>
          <w:sz w:val="24"/>
          <w:szCs w:val="24"/>
          <w:highlight w:val="none"/>
        </w:rPr>
      </w:pPr>
      <w:r>
        <w:rPr>
          <w:color w:val="auto"/>
          <w:kern w:val="0"/>
          <w:highlight w:val="none"/>
        </w:rPr>
        <w:br w:type="page"/>
      </w:r>
      <w:r>
        <w:rPr>
          <w:color w:val="auto"/>
          <w:kern w:val="0"/>
          <w:sz w:val="24"/>
          <w:szCs w:val="24"/>
          <w:highlight w:val="none"/>
        </w:rPr>
        <w:t xml:space="preserve">甲方（采购人）： </w:t>
      </w:r>
    </w:p>
    <w:p>
      <w:pPr>
        <w:pStyle w:val="32"/>
        <w:spacing w:line="360" w:lineRule="auto"/>
        <w:ind w:right="958"/>
        <w:rPr>
          <w:rFonts w:ascii="Times New Roman" w:cs="Times New Roman"/>
          <w:bCs/>
          <w:color w:val="auto"/>
          <w:sz w:val="24"/>
          <w:szCs w:val="24"/>
          <w:highlight w:val="none"/>
        </w:rPr>
      </w:pPr>
      <w:r>
        <w:rPr>
          <w:rFonts w:ascii="Calibri" w:hAnsi="Calibri" w:eastAsia="宋体" w:cs="Times New Roman"/>
          <w:color w:val="auto"/>
          <w:kern w:val="0"/>
          <w:sz w:val="24"/>
          <w:szCs w:val="24"/>
          <w:highlight w:val="none"/>
          <w:lang w:val="en-US" w:eastAsia="zh-CN" w:bidi="ar-SA"/>
        </w:rPr>
        <w:t>乙方（中标人）：</w:t>
      </w:r>
      <w:r>
        <w:rPr>
          <w:rFonts w:hint="eastAsia" w:ascii="Times New Roman" w:cs="Times New Roman"/>
          <w:color w:val="auto"/>
          <w:sz w:val="24"/>
          <w:szCs w:val="24"/>
          <w:highlight w:val="none"/>
        </w:rPr>
        <w:t xml:space="preserve"> </w:t>
      </w:r>
    </w:p>
    <w:p>
      <w:pPr>
        <w:tabs>
          <w:tab w:val="left" w:pos="3600"/>
          <w:tab w:val="left" w:pos="3780"/>
          <w:tab w:val="left" w:pos="3960"/>
        </w:tabs>
        <w:spacing w:line="360" w:lineRule="auto"/>
        <w:jc w:val="left"/>
        <w:rPr>
          <w:color w:val="auto"/>
          <w:kern w:val="0"/>
          <w:sz w:val="24"/>
          <w:szCs w:val="24"/>
          <w:highlight w:val="none"/>
        </w:rPr>
      </w:pPr>
      <w:r>
        <w:rPr>
          <w:color w:val="auto"/>
          <w:kern w:val="0"/>
          <w:sz w:val="24"/>
          <w:szCs w:val="24"/>
          <w:highlight w:val="none"/>
        </w:rPr>
        <w:t>鉴于：乙方系“</w:t>
      </w:r>
      <w:r>
        <w:rPr>
          <w:rFonts w:hint="eastAsia"/>
          <w:color w:val="auto"/>
          <w:kern w:val="0"/>
          <w:sz w:val="24"/>
          <w:szCs w:val="24"/>
          <w:highlight w:val="none"/>
          <w:u w:val="single"/>
        </w:rPr>
        <w:t>XXX</w:t>
      </w:r>
      <w:r>
        <w:rPr>
          <w:rFonts w:hint="eastAsia" w:ascii="Times New Roman" w:hAnsi="Times New Roman"/>
          <w:color w:val="auto"/>
          <w:kern w:val="0"/>
          <w:sz w:val="24"/>
          <w:szCs w:val="24"/>
          <w:highlight w:val="none"/>
          <w:u w:val="single"/>
        </w:rPr>
        <w:t xml:space="preserve">项目 </w:t>
      </w:r>
      <w:r>
        <w:rPr>
          <w:color w:val="auto"/>
          <w:kern w:val="0"/>
          <w:sz w:val="24"/>
          <w:szCs w:val="24"/>
          <w:highlight w:val="none"/>
        </w:rPr>
        <w:t>”第</w:t>
      </w:r>
      <w:r>
        <w:rPr>
          <w:rFonts w:hint="eastAsia"/>
          <w:color w:val="auto"/>
          <w:kern w:val="0"/>
          <w:sz w:val="24"/>
          <w:szCs w:val="24"/>
          <w:highlight w:val="none"/>
        </w:rPr>
        <w:t>XX</w:t>
      </w:r>
      <w:r>
        <w:rPr>
          <w:color w:val="auto"/>
          <w:kern w:val="0"/>
          <w:sz w:val="24"/>
          <w:szCs w:val="24"/>
          <w:highlight w:val="none"/>
        </w:rPr>
        <w:t>包的中标人，甲乙双方根据《中华人民共和国政府采购法》、《中华人民共和国民法典》等相关法律、法规的规定及本项目的招投标文件，达成本协议，双方同意遵照执行。</w:t>
      </w:r>
    </w:p>
    <w:p>
      <w:pPr>
        <w:widowControl/>
        <w:adjustRightInd w:val="0"/>
        <w:snapToGrid w:val="0"/>
        <w:spacing w:line="360" w:lineRule="auto"/>
        <w:ind w:firstLine="482" w:firstLineChars="200"/>
        <w:jc w:val="left"/>
        <w:rPr>
          <w:b/>
          <w:color w:val="auto"/>
          <w:kern w:val="0"/>
          <w:sz w:val="24"/>
          <w:szCs w:val="24"/>
          <w:highlight w:val="none"/>
        </w:rPr>
      </w:pPr>
      <w:r>
        <w:rPr>
          <w:b/>
          <w:color w:val="auto"/>
          <w:kern w:val="0"/>
          <w:sz w:val="24"/>
          <w:szCs w:val="24"/>
          <w:highlight w:val="none"/>
        </w:rPr>
        <w:t>一、定义</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除非另有特别解释或说明，在本协议中及与本协议相关的其他文件（包括且不限于本协议的附件、补充协议、备忘录、往来函件）中，下述词语均按如下定义进行解释：</w:t>
      </w:r>
    </w:p>
    <w:p>
      <w:pPr>
        <w:widowControl/>
        <w:adjustRightInd w:val="0"/>
        <w:snapToGrid w:val="0"/>
        <w:spacing w:line="360" w:lineRule="auto"/>
        <w:ind w:firstLine="480" w:firstLineChars="200"/>
        <w:jc w:val="left"/>
        <w:rPr>
          <w:color w:val="auto"/>
          <w:kern w:val="0"/>
          <w:sz w:val="24"/>
          <w:szCs w:val="24"/>
          <w:highlight w:val="none"/>
          <w:u w:val="single"/>
        </w:rPr>
      </w:pPr>
      <w:r>
        <w:rPr>
          <w:color w:val="auto"/>
          <w:kern w:val="0"/>
          <w:sz w:val="24"/>
          <w:szCs w:val="24"/>
          <w:highlight w:val="none"/>
        </w:rPr>
        <w:t>1.“项目”指</w:t>
      </w:r>
      <w:r>
        <w:rPr>
          <w:rFonts w:hint="eastAsia" w:ascii="Times New Roman" w:hAnsi="Times New Roman"/>
          <w:color w:val="auto"/>
          <w:kern w:val="0"/>
          <w:sz w:val="24"/>
          <w:szCs w:val="24"/>
          <w:highlight w:val="none"/>
          <w:u w:val="single"/>
        </w:rPr>
        <w:t>XXX项目</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2.“协议”指甲乙双方签署的，与本项目相关的协议、附件、附录和其他对双方有约束力的文件。</w:t>
      </w:r>
    </w:p>
    <w:p>
      <w:pPr>
        <w:widowControl/>
        <w:adjustRightInd w:val="0"/>
        <w:snapToGrid w:val="0"/>
        <w:spacing w:line="360" w:lineRule="auto"/>
        <w:ind w:firstLine="480" w:firstLineChars="200"/>
        <w:jc w:val="left"/>
        <w:rPr>
          <w:bCs/>
          <w:color w:val="auto"/>
          <w:kern w:val="0"/>
          <w:sz w:val="24"/>
          <w:szCs w:val="24"/>
          <w:highlight w:val="none"/>
        </w:rPr>
      </w:pPr>
      <w:r>
        <w:rPr>
          <w:color w:val="auto"/>
          <w:kern w:val="0"/>
          <w:sz w:val="24"/>
          <w:szCs w:val="24"/>
          <w:highlight w:val="none"/>
        </w:rPr>
        <w:t>3.</w:t>
      </w:r>
      <w:r>
        <w:rPr>
          <w:bCs/>
          <w:color w:val="auto"/>
          <w:kern w:val="0"/>
          <w:sz w:val="24"/>
          <w:szCs w:val="24"/>
          <w:highlight w:val="none"/>
        </w:rPr>
        <w:t>“用户”指根据招标文件确定的该分包所包含的甲方下属消防救援</w:t>
      </w:r>
      <w:r>
        <w:rPr>
          <w:rFonts w:hint="eastAsia"/>
          <w:bCs/>
          <w:color w:val="auto"/>
          <w:kern w:val="0"/>
          <w:sz w:val="24"/>
          <w:szCs w:val="24"/>
          <w:highlight w:val="none"/>
        </w:rPr>
        <w:t>支队</w:t>
      </w:r>
      <w:r>
        <w:rPr>
          <w:bCs/>
          <w:color w:val="auto"/>
          <w:kern w:val="0"/>
          <w:sz w:val="24"/>
          <w:szCs w:val="24"/>
          <w:highlight w:val="none"/>
        </w:rPr>
        <w:t>及所属单位。</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4.“采购合同”指甲方、甲方下属消防救援</w:t>
      </w:r>
      <w:r>
        <w:rPr>
          <w:rFonts w:hint="eastAsia"/>
          <w:color w:val="auto"/>
          <w:kern w:val="0"/>
          <w:sz w:val="24"/>
          <w:szCs w:val="24"/>
          <w:highlight w:val="none"/>
        </w:rPr>
        <w:t>支队</w:t>
      </w:r>
      <w:r>
        <w:rPr>
          <w:color w:val="auto"/>
          <w:kern w:val="0"/>
          <w:sz w:val="24"/>
          <w:szCs w:val="24"/>
          <w:highlight w:val="none"/>
        </w:rPr>
        <w:t>根据实际需求数量和乙方签订的订货合同。</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5.“附件”是指与本协议的订立、履行有关的，经甲乙双方认可的，对本协议约定的内容进行细化、补充、修改、变更的文件或图纸</w:t>
      </w:r>
      <w:r>
        <w:rPr>
          <w:rFonts w:hint="eastAsia"/>
          <w:color w:val="auto"/>
          <w:kern w:val="0"/>
          <w:sz w:val="24"/>
          <w:szCs w:val="24"/>
          <w:highlight w:val="none"/>
        </w:rPr>
        <w:t>、音像制品</w:t>
      </w:r>
      <w:r>
        <w:rPr>
          <w:color w:val="auto"/>
          <w:kern w:val="0"/>
          <w:sz w:val="24"/>
          <w:szCs w:val="24"/>
          <w:highlight w:val="none"/>
        </w:rPr>
        <w:t>等资料，且在本协议或相关附件中注明其作为本协议的附件。</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6.“货物”指本协议《</w:t>
      </w:r>
      <w:r>
        <w:rPr>
          <w:rFonts w:hint="eastAsia"/>
          <w:color w:val="auto"/>
          <w:sz w:val="24"/>
          <w:szCs w:val="24"/>
          <w:highlight w:val="none"/>
        </w:rPr>
        <w:t>产</w:t>
      </w:r>
      <w:r>
        <w:rPr>
          <w:color w:val="auto"/>
          <w:kern w:val="0"/>
          <w:sz w:val="24"/>
          <w:szCs w:val="24"/>
          <w:highlight w:val="none"/>
        </w:rPr>
        <w:t>品目</w:t>
      </w:r>
      <w:r>
        <w:rPr>
          <w:rFonts w:hint="eastAsia"/>
          <w:color w:val="auto"/>
          <w:kern w:val="0"/>
          <w:sz w:val="24"/>
          <w:szCs w:val="24"/>
          <w:highlight w:val="none"/>
        </w:rPr>
        <w:t>录</w:t>
      </w:r>
      <w:r>
        <w:rPr>
          <w:color w:val="auto"/>
          <w:kern w:val="0"/>
          <w:sz w:val="24"/>
          <w:szCs w:val="24"/>
          <w:highlight w:val="none"/>
        </w:rPr>
        <w:t>价格表》中所规定的产品及备件、专用工具、文件资料等内容。</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7.“服务”指根据协议规定乙方应承担的与供货有关的辅助服务。</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8.“</w:t>
      </w:r>
      <w:r>
        <w:rPr>
          <w:rFonts w:hint="eastAsia"/>
          <w:color w:val="auto"/>
          <w:kern w:val="0"/>
          <w:sz w:val="24"/>
          <w:szCs w:val="24"/>
          <w:highlight w:val="none"/>
        </w:rPr>
        <w:t>验收</w:t>
      </w:r>
      <w:r>
        <w:rPr>
          <w:color w:val="auto"/>
          <w:kern w:val="0"/>
          <w:sz w:val="24"/>
          <w:szCs w:val="24"/>
          <w:highlight w:val="none"/>
        </w:rPr>
        <w:t>”指甲方及甲方用户按照本</w:t>
      </w:r>
      <w:r>
        <w:rPr>
          <w:rFonts w:hint="eastAsia"/>
          <w:color w:val="auto"/>
          <w:kern w:val="0"/>
          <w:sz w:val="24"/>
          <w:szCs w:val="24"/>
          <w:highlight w:val="none"/>
        </w:rPr>
        <w:t>协议</w:t>
      </w:r>
      <w:r>
        <w:rPr>
          <w:color w:val="auto"/>
          <w:kern w:val="0"/>
          <w:sz w:val="24"/>
          <w:szCs w:val="24"/>
          <w:highlight w:val="none"/>
        </w:rPr>
        <w:t>约定的标准对合同货物进行的检测与测试。</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9.“标准”指</w:t>
      </w:r>
      <w:r>
        <w:rPr>
          <w:rFonts w:hint="eastAsia"/>
          <w:color w:val="auto"/>
          <w:kern w:val="0"/>
          <w:sz w:val="24"/>
          <w:szCs w:val="24"/>
          <w:highlight w:val="none"/>
        </w:rPr>
        <w:t>招标文件第五章所载明的技术需求及</w:t>
      </w:r>
      <w:r>
        <w:rPr>
          <w:color w:val="auto"/>
          <w:kern w:val="0"/>
          <w:sz w:val="24"/>
          <w:szCs w:val="24"/>
          <w:highlight w:val="none"/>
        </w:rPr>
        <w:t>甲方制定用于产品设计、生产、质量监管等需要的产品技术标准，在本协议及相关合同、附件中，可使用产品技术标准、标准等简化称谓。</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10.“法律、法规”是指中华人民共和国境内现行有效的法律、行政法规、地方性法规、规章及其他规范性文件。</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11.“招标文件”指《</w:t>
      </w:r>
      <w:r>
        <w:rPr>
          <w:rFonts w:hint="eastAsia" w:ascii="Times New Roman" w:hAnsi="Times New Roman"/>
          <w:color w:val="auto"/>
          <w:kern w:val="0"/>
          <w:sz w:val="24"/>
          <w:szCs w:val="24"/>
          <w:highlight w:val="none"/>
          <w:u w:val="single"/>
        </w:rPr>
        <w:t>XXX项目</w:t>
      </w:r>
      <w:r>
        <w:rPr>
          <w:color w:val="auto"/>
          <w:kern w:val="0"/>
          <w:sz w:val="24"/>
          <w:szCs w:val="24"/>
          <w:highlight w:val="none"/>
        </w:rPr>
        <w:t>》（招标编号：）招标文件。</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12.“投标文件”指乙方按照</w:t>
      </w:r>
      <w:r>
        <w:rPr>
          <w:rFonts w:hint="eastAsia"/>
          <w:color w:val="auto"/>
          <w:kern w:val="0"/>
          <w:sz w:val="24"/>
          <w:szCs w:val="24"/>
          <w:highlight w:val="none"/>
        </w:rPr>
        <w:t>吉林省消防救援总队</w:t>
      </w:r>
      <w:r>
        <w:rPr>
          <w:color w:val="auto"/>
          <w:kern w:val="0"/>
          <w:sz w:val="24"/>
          <w:szCs w:val="24"/>
          <w:highlight w:val="none"/>
        </w:rPr>
        <w:t>招标文件的要求编制和投递，并最终被招标方接受的投标文件。</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13.“日”本协议中以日表述的时间均指日历日，但明确为工作日的除外。</w:t>
      </w:r>
    </w:p>
    <w:p>
      <w:pPr>
        <w:widowControl/>
        <w:adjustRightInd w:val="0"/>
        <w:snapToGrid w:val="0"/>
        <w:spacing w:line="360" w:lineRule="auto"/>
        <w:ind w:firstLine="482" w:firstLineChars="200"/>
        <w:rPr>
          <w:b/>
          <w:bCs/>
          <w:color w:val="auto"/>
          <w:kern w:val="0"/>
          <w:sz w:val="24"/>
          <w:szCs w:val="24"/>
          <w:highlight w:val="none"/>
        </w:rPr>
      </w:pPr>
      <w:r>
        <w:rPr>
          <w:b/>
          <w:bCs/>
          <w:color w:val="auto"/>
          <w:kern w:val="0"/>
          <w:sz w:val="24"/>
          <w:szCs w:val="24"/>
          <w:highlight w:val="none"/>
        </w:rPr>
        <w:t>二、合作方式和服务期限</w:t>
      </w:r>
    </w:p>
    <w:p>
      <w:pPr>
        <w:widowControl/>
        <w:adjustRightInd w:val="0"/>
        <w:snapToGrid w:val="0"/>
        <w:spacing w:line="360" w:lineRule="auto"/>
        <w:ind w:firstLine="480" w:firstLineChars="200"/>
        <w:rPr>
          <w:color w:val="auto"/>
          <w:kern w:val="0"/>
          <w:sz w:val="24"/>
          <w:szCs w:val="24"/>
          <w:highlight w:val="none"/>
        </w:rPr>
      </w:pPr>
      <w:r>
        <w:rPr>
          <w:color w:val="auto"/>
          <w:kern w:val="0"/>
          <w:sz w:val="24"/>
          <w:szCs w:val="24"/>
          <w:highlight w:val="none"/>
        </w:rPr>
        <w:t>1.乙方作为项目的中标人，应在本协议</w:t>
      </w:r>
      <w:r>
        <w:rPr>
          <w:rFonts w:hint="eastAsia"/>
          <w:color w:val="auto"/>
          <w:kern w:val="0"/>
          <w:sz w:val="24"/>
          <w:szCs w:val="24"/>
          <w:highlight w:val="none"/>
        </w:rPr>
        <w:t>生效</w:t>
      </w:r>
      <w:r>
        <w:rPr>
          <w:color w:val="auto"/>
          <w:kern w:val="0"/>
          <w:sz w:val="24"/>
          <w:szCs w:val="24"/>
          <w:highlight w:val="none"/>
        </w:rPr>
        <w:t>之日起7</w:t>
      </w:r>
      <w:r>
        <w:rPr>
          <w:rFonts w:hint="eastAsia"/>
          <w:color w:val="auto"/>
          <w:kern w:val="0"/>
          <w:sz w:val="24"/>
          <w:szCs w:val="24"/>
          <w:highlight w:val="none"/>
        </w:rPr>
        <w:t>个工作</w:t>
      </w:r>
      <w:r>
        <w:rPr>
          <w:color w:val="auto"/>
          <w:kern w:val="0"/>
          <w:sz w:val="24"/>
          <w:szCs w:val="24"/>
          <w:highlight w:val="none"/>
        </w:rPr>
        <w:t>日内与</w:t>
      </w:r>
      <w:r>
        <w:rPr>
          <w:rFonts w:hint="eastAsia"/>
          <w:color w:val="auto"/>
          <w:kern w:val="0"/>
          <w:sz w:val="24"/>
          <w:szCs w:val="24"/>
          <w:highlight w:val="none"/>
        </w:rPr>
        <w:t>用户</w:t>
      </w:r>
      <w:r>
        <w:rPr>
          <w:color w:val="auto"/>
          <w:kern w:val="0"/>
          <w:sz w:val="24"/>
          <w:szCs w:val="24"/>
          <w:highlight w:val="none"/>
        </w:rPr>
        <w:t>签订采购合同；</w:t>
      </w:r>
    </w:p>
    <w:p>
      <w:pPr>
        <w:pStyle w:val="45"/>
        <w:adjustRightInd w:val="0"/>
        <w:snapToGrid w:val="0"/>
        <w:spacing w:line="360" w:lineRule="auto"/>
        <w:ind w:firstLine="0" w:firstLineChars="0"/>
        <w:rPr>
          <w:rFonts w:ascii="Times New Roman" w:hAnsi="Times New Roman"/>
          <w:color w:val="auto"/>
          <w:kern w:val="0"/>
          <w:sz w:val="24"/>
          <w:szCs w:val="24"/>
          <w:highlight w:val="none"/>
        </w:rPr>
      </w:pPr>
      <w:r>
        <w:rPr>
          <w:rFonts w:ascii="Times New Roman" w:hAnsi="Times New Roman"/>
          <w:color w:val="auto"/>
          <w:kern w:val="0"/>
          <w:sz w:val="24"/>
          <w:szCs w:val="24"/>
          <w:highlight w:val="none"/>
        </w:rPr>
        <w:t>按照招标文件、投标文件及本协议约定的品目、价格、质量等内容为用户供应货物。</w:t>
      </w:r>
    </w:p>
    <w:p>
      <w:pPr>
        <w:widowControl/>
        <w:adjustRightInd w:val="0"/>
        <w:snapToGrid w:val="0"/>
        <w:spacing w:line="360" w:lineRule="auto"/>
        <w:ind w:firstLine="480" w:firstLineChars="200"/>
        <w:rPr>
          <w:color w:val="auto"/>
          <w:kern w:val="0"/>
          <w:sz w:val="24"/>
          <w:szCs w:val="24"/>
          <w:highlight w:val="none"/>
        </w:rPr>
      </w:pPr>
      <w:r>
        <w:rPr>
          <w:color w:val="auto"/>
          <w:kern w:val="0"/>
          <w:sz w:val="24"/>
          <w:szCs w:val="24"/>
          <w:highlight w:val="none"/>
        </w:rPr>
        <w:t>2.服务期：本协议生效之日起至</w:t>
      </w:r>
      <w:r>
        <w:rPr>
          <w:rFonts w:hint="eastAsia"/>
          <w:color w:val="auto"/>
          <w:kern w:val="0"/>
          <w:sz w:val="24"/>
          <w:szCs w:val="24"/>
          <w:highlight w:val="none"/>
          <w:u w:val="single"/>
        </w:rPr>
        <w:t>质保期结束</w:t>
      </w:r>
      <w:r>
        <w:rPr>
          <w:color w:val="auto"/>
          <w:kern w:val="0"/>
          <w:sz w:val="24"/>
          <w:szCs w:val="24"/>
          <w:highlight w:val="none"/>
        </w:rPr>
        <w:t>为止，服务期满不影响乙方按照投标文件承诺的质量保证期及质量保证期内的义务履行。</w:t>
      </w:r>
      <w:r>
        <w:rPr>
          <w:rFonts w:hint="eastAsia"/>
          <w:color w:val="auto"/>
          <w:kern w:val="0"/>
          <w:sz w:val="24"/>
          <w:szCs w:val="24"/>
          <w:highlight w:val="none"/>
        </w:rPr>
        <w:t>伴随服务和售后服务按照本</w:t>
      </w:r>
      <w:r>
        <w:rPr>
          <w:rFonts w:hint="eastAsia"/>
          <w:color w:val="auto"/>
          <w:kern w:val="0"/>
          <w:sz w:val="24"/>
          <w:szCs w:val="24"/>
          <w:highlight w:val="none"/>
          <w:lang w:val="en-US" w:eastAsia="zh-CN"/>
        </w:rPr>
        <w:t>协议</w:t>
      </w:r>
      <w:r>
        <w:rPr>
          <w:rFonts w:hint="eastAsia"/>
          <w:color w:val="auto"/>
          <w:kern w:val="0"/>
          <w:sz w:val="24"/>
          <w:szCs w:val="24"/>
          <w:highlight w:val="none"/>
        </w:rPr>
        <w:t>以及甲方用户与乙方签署的合同约定执行。</w:t>
      </w:r>
    </w:p>
    <w:p>
      <w:pPr>
        <w:widowControl/>
        <w:adjustRightInd w:val="0"/>
        <w:snapToGrid w:val="0"/>
        <w:spacing w:line="360" w:lineRule="auto"/>
        <w:ind w:firstLine="482" w:firstLineChars="200"/>
        <w:rPr>
          <w:b/>
          <w:bCs/>
          <w:color w:val="auto"/>
          <w:kern w:val="0"/>
          <w:sz w:val="24"/>
          <w:szCs w:val="24"/>
          <w:highlight w:val="none"/>
        </w:rPr>
      </w:pPr>
      <w:r>
        <w:rPr>
          <w:b/>
          <w:bCs/>
          <w:color w:val="auto"/>
          <w:kern w:val="0"/>
          <w:sz w:val="24"/>
          <w:szCs w:val="24"/>
          <w:highlight w:val="none"/>
        </w:rPr>
        <w:t>三、货物数量</w:t>
      </w:r>
      <w:r>
        <w:rPr>
          <w:rFonts w:hint="eastAsia"/>
          <w:b/>
          <w:bCs/>
          <w:color w:val="auto"/>
          <w:kern w:val="0"/>
          <w:sz w:val="24"/>
          <w:szCs w:val="24"/>
          <w:highlight w:val="none"/>
        </w:rPr>
        <w:t>、价格、</w:t>
      </w:r>
      <w:r>
        <w:rPr>
          <w:b/>
          <w:bCs/>
          <w:color w:val="auto"/>
          <w:kern w:val="0"/>
          <w:sz w:val="24"/>
          <w:szCs w:val="24"/>
          <w:highlight w:val="none"/>
        </w:rPr>
        <w:t>质量</w:t>
      </w:r>
    </w:p>
    <w:tbl>
      <w:tblPr>
        <w:tblStyle w:val="24"/>
        <w:tblW w:w="9118"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06"/>
        <w:gridCol w:w="175"/>
        <w:gridCol w:w="1624"/>
        <w:gridCol w:w="1437"/>
        <w:gridCol w:w="1316"/>
        <w:gridCol w:w="1615"/>
        <w:gridCol w:w="194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1181" w:type="dxa"/>
            <w:gridSpan w:val="2"/>
            <w:vAlign w:val="center"/>
          </w:tcPr>
          <w:p>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货物名称</w:t>
            </w:r>
          </w:p>
        </w:tc>
        <w:tc>
          <w:tcPr>
            <w:tcW w:w="1624" w:type="dxa"/>
            <w:vAlign w:val="center"/>
          </w:tcPr>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品牌</w:t>
            </w:r>
          </w:p>
        </w:tc>
        <w:tc>
          <w:tcPr>
            <w:tcW w:w="1437" w:type="dxa"/>
            <w:vAlign w:val="center"/>
          </w:tcPr>
          <w:p>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规格型号及配置</w:t>
            </w:r>
          </w:p>
        </w:tc>
        <w:tc>
          <w:tcPr>
            <w:tcW w:w="1316" w:type="dxa"/>
            <w:vAlign w:val="center"/>
          </w:tcPr>
          <w:p>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数量</w:t>
            </w:r>
          </w:p>
        </w:tc>
        <w:tc>
          <w:tcPr>
            <w:tcW w:w="1615" w:type="dxa"/>
            <w:vAlign w:val="center"/>
          </w:tcPr>
          <w:p>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单价(元)</w:t>
            </w:r>
          </w:p>
        </w:tc>
        <w:tc>
          <w:tcPr>
            <w:tcW w:w="1945" w:type="dxa"/>
            <w:vAlign w:val="center"/>
          </w:tcPr>
          <w:p>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7" w:hRule="atLeast"/>
        </w:trPr>
        <w:tc>
          <w:tcPr>
            <w:tcW w:w="1181" w:type="dxa"/>
            <w:gridSpan w:val="2"/>
            <w:vAlign w:val="center"/>
          </w:tcPr>
          <w:p>
            <w:pPr>
              <w:pStyle w:val="46"/>
              <w:spacing w:line="360" w:lineRule="auto"/>
              <w:jc w:val="center"/>
              <w:rPr>
                <w:rFonts w:asciiTheme="minorEastAsia" w:hAnsiTheme="minorEastAsia" w:cstheme="minorEastAsia"/>
                <w:color w:val="auto"/>
                <w:sz w:val="24"/>
                <w:szCs w:val="24"/>
                <w:highlight w:val="none"/>
              </w:rPr>
            </w:pPr>
          </w:p>
        </w:tc>
        <w:tc>
          <w:tcPr>
            <w:tcW w:w="1624" w:type="dxa"/>
            <w:vAlign w:val="center"/>
          </w:tcPr>
          <w:p>
            <w:pPr>
              <w:pStyle w:val="46"/>
              <w:spacing w:line="360" w:lineRule="auto"/>
              <w:jc w:val="center"/>
              <w:rPr>
                <w:rFonts w:asciiTheme="minorEastAsia" w:hAnsiTheme="minorEastAsia" w:cstheme="minorEastAsia"/>
                <w:color w:val="auto"/>
                <w:sz w:val="24"/>
                <w:szCs w:val="24"/>
                <w:highlight w:val="none"/>
              </w:rPr>
            </w:pPr>
          </w:p>
        </w:tc>
        <w:tc>
          <w:tcPr>
            <w:tcW w:w="1437" w:type="dxa"/>
            <w:vAlign w:val="center"/>
          </w:tcPr>
          <w:p>
            <w:pPr>
              <w:pStyle w:val="46"/>
              <w:spacing w:line="360" w:lineRule="auto"/>
              <w:jc w:val="center"/>
              <w:rPr>
                <w:rFonts w:asciiTheme="minorEastAsia" w:hAnsiTheme="minorEastAsia" w:cstheme="minorEastAsia"/>
                <w:color w:val="auto"/>
                <w:sz w:val="24"/>
                <w:szCs w:val="24"/>
                <w:highlight w:val="none"/>
              </w:rPr>
            </w:pPr>
          </w:p>
        </w:tc>
        <w:tc>
          <w:tcPr>
            <w:tcW w:w="1316" w:type="dxa"/>
            <w:vAlign w:val="center"/>
          </w:tcPr>
          <w:p>
            <w:pPr>
              <w:pStyle w:val="46"/>
              <w:spacing w:line="360" w:lineRule="auto"/>
              <w:jc w:val="center"/>
              <w:rPr>
                <w:rFonts w:asciiTheme="minorEastAsia" w:hAnsiTheme="minorEastAsia" w:cstheme="minorEastAsia"/>
                <w:color w:val="auto"/>
                <w:sz w:val="24"/>
                <w:szCs w:val="24"/>
                <w:highlight w:val="none"/>
              </w:rPr>
            </w:pPr>
          </w:p>
        </w:tc>
        <w:tc>
          <w:tcPr>
            <w:tcW w:w="1615" w:type="dxa"/>
            <w:vAlign w:val="center"/>
          </w:tcPr>
          <w:p>
            <w:pPr>
              <w:pStyle w:val="46"/>
              <w:spacing w:line="360" w:lineRule="auto"/>
              <w:jc w:val="center"/>
              <w:rPr>
                <w:rFonts w:asciiTheme="minorEastAsia" w:hAnsiTheme="minorEastAsia" w:cstheme="minorEastAsia"/>
                <w:color w:val="auto"/>
                <w:sz w:val="24"/>
                <w:szCs w:val="24"/>
                <w:highlight w:val="none"/>
              </w:rPr>
            </w:pPr>
          </w:p>
        </w:tc>
        <w:tc>
          <w:tcPr>
            <w:tcW w:w="1945" w:type="dxa"/>
            <w:vAlign w:val="center"/>
          </w:tcPr>
          <w:p>
            <w:pPr>
              <w:pStyle w:val="46"/>
              <w:spacing w:line="360" w:lineRule="auto"/>
              <w:jc w:val="center"/>
              <w:rPr>
                <w:rFonts w:asciiTheme="minorEastAsia" w:hAnsi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7" w:hRule="atLeast"/>
        </w:trPr>
        <w:tc>
          <w:tcPr>
            <w:tcW w:w="2805" w:type="dxa"/>
            <w:gridSpan w:val="3"/>
            <w:vAlign w:val="center"/>
          </w:tcPr>
          <w:p>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合计</w:t>
            </w:r>
          </w:p>
        </w:tc>
        <w:tc>
          <w:tcPr>
            <w:tcW w:w="1437" w:type="dxa"/>
            <w:vAlign w:val="center"/>
          </w:tcPr>
          <w:p>
            <w:pPr>
              <w:spacing w:line="360" w:lineRule="auto"/>
              <w:jc w:val="center"/>
              <w:rPr>
                <w:rFonts w:ascii="宋体" w:hAnsi="宋体" w:cs="宋体"/>
                <w:color w:val="auto"/>
                <w:sz w:val="24"/>
                <w:szCs w:val="24"/>
                <w:highlight w:val="none"/>
              </w:rPr>
            </w:pPr>
          </w:p>
        </w:tc>
        <w:tc>
          <w:tcPr>
            <w:tcW w:w="1316" w:type="dxa"/>
            <w:vAlign w:val="center"/>
          </w:tcPr>
          <w:p>
            <w:pPr>
              <w:spacing w:line="360" w:lineRule="auto"/>
              <w:jc w:val="center"/>
              <w:rPr>
                <w:rFonts w:ascii="宋体" w:hAnsi="宋体" w:cs="宋体"/>
                <w:color w:val="auto"/>
                <w:sz w:val="24"/>
                <w:szCs w:val="24"/>
                <w:highlight w:val="none"/>
              </w:rPr>
            </w:pPr>
          </w:p>
        </w:tc>
        <w:tc>
          <w:tcPr>
            <w:tcW w:w="1615" w:type="dxa"/>
            <w:vAlign w:val="center"/>
          </w:tcPr>
          <w:p>
            <w:pPr>
              <w:spacing w:line="360" w:lineRule="auto"/>
              <w:jc w:val="center"/>
              <w:rPr>
                <w:rFonts w:ascii="宋体" w:hAnsi="宋体" w:cs="宋体"/>
                <w:color w:val="auto"/>
                <w:sz w:val="24"/>
                <w:szCs w:val="24"/>
                <w:highlight w:val="none"/>
              </w:rPr>
            </w:pPr>
          </w:p>
        </w:tc>
        <w:tc>
          <w:tcPr>
            <w:tcW w:w="1945" w:type="dxa"/>
            <w:vAlign w:val="center"/>
          </w:tcPr>
          <w:p>
            <w:pPr>
              <w:spacing w:line="360" w:lineRule="auto"/>
              <w:jc w:val="left"/>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38" w:hRule="atLeast"/>
        </w:trPr>
        <w:tc>
          <w:tcPr>
            <w:tcW w:w="1006" w:type="dxa"/>
            <w:vAlign w:val="center"/>
          </w:tcPr>
          <w:p>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备注</w:t>
            </w:r>
          </w:p>
        </w:tc>
        <w:tc>
          <w:tcPr>
            <w:tcW w:w="8112" w:type="dxa"/>
            <w:gridSpan w:val="6"/>
            <w:vAlign w:val="center"/>
          </w:tcPr>
          <w:p>
            <w:pPr>
              <w:spacing w:line="360" w:lineRule="auto"/>
              <w:jc w:val="left"/>
              <w:rPr>
                <w:rFonts w:ascii="宋体" w:hAnsi="宋体" w:cs="宋体"/>
                <w:color w:val="auto"/>
                <w:sz w:val="24"/>
                <w:szCs w:val="24"/>
                <w:highlight w:val="none"/>
              </w:rPr>
            </w:pPr>
            <w:r>
              <w:rPr>
                <w:rFonts w:hint="eastAsia" w:asciiTheme="minorEastAsia" w:hAnsiTheme="minorEastAsia" w:cstheme="minorEastAsia"/>
                <w:color w:val="auto"/>
                <w:sz w:val="24"/>
                <w:szCs w:val="24"/>
                <w:highlight w:val="none"/>
              </w:rPr>
              <w:t>总价：大写：人民币</w:t>
            </w:r>
            <w:r>
              <w:rPr>
                <w:rFonts w:hint="eastAsia" w:asciiTheme="minorEastAsia" w:hAnsiTheme="minorEastAsia" w:cstheme="minorEastAsia"/>
                <w:color w:val="auto"/>
                <w:sz w:val="24"/>
                <w:szCs w:val="24"/>
                <w:highlight w:val="none"/>
                <w:u w:val="single"/>
              </w:rPr>
              <w:t xml:space="preserve"> XXX元整</w:t>
            </w:r>
            <w:r>
              <w:rPr>
                <w:rFonts w:hint="eastAsia" w:asciiTheme="minorEastAsia" w:hAnsiTheme="minorEastAsia" w:cstheme="minorEastAsia"/>
                <w:color w:val="auto"/>
                <w:sz w:val="24"/>
                <w:szCs w:val="24"/>
                <w:highlight w:val="none"/>
              </w:rPr>
              <w:tab/>
            </w:r>
            <w:r>
              <w:rPr>
                <w:rFonts w:hint="eastAsia" w:asciiTheme="minorEastAsia" w:hAnsiTheme="minorEastAsia" w:cstheme="minorEastAsia"/>
                <w:color w:val="auto"/>
                <w:sz w:val="24"/>
                <w:szCs w:val="24"/>
                <w:highlight w:val="none"/>
              </w:rPr>
              <w:t>小写：¥</w:t>
            </w:r>
            <w:r>
              <w:rPr>
                <w:rFonts w:hint="eastAsia" w:asciiTheme="minorEastAsia" w:hAnsiTheme="minorEastAsia" w:cstheme="minorEastAsia"/>
                <w:color w:val="auto"/>
                <w:sz w:val="24"/>
                <w:szCs w:val="24"/>
                <w:highlight w:val="none"/>
                <w:u w:val="single"/>
              </w:rPr>
              <w:t>XXX</w:t>
            </w:r>
            <w:r>
              <w:rPr>
                <w:rFonts w:hint="eastAsia" w:asciiTheme="minorEastAsia" w:hAnsiTheme="minorEastAsia" w:cstheme="minorEastAsia"/>
                <w:color w:val="auto"/>
                <w:sz w:val="24"/>
                <w:szCs w:val="24"/>
                <w:highlight w:val="none"/>
              </w:rPr>
              <w:t>元（本表格中所述总价为甲方所有用户自乙方处采购货物或接受服务所需支出的全部费用，包括但不限于：原料、生产、包装、运输费、保险费、检测费用、验收费用、国家征收的所有相关税费）</w:t>
            </w:r>
          </w:p>
        </w:tc>
      </w:tr>
    </w:tbl>
    <w:p>
      <w:pPr>
        <w:widowControl/>
        <w:adjustRightInd w:val="0"/>
        <w:snapToGrid w:val="0"/>
        <w:spacing w:line="360" w:lineRule="auto"/>
        <w:ind w:firstLine="480" w:firstLineChars="200"/>
        <w:rPr>
          <w:rFonts w:ascii="Times New Roman" w:hAnsi="Times New Roman"/>
          <w:color w:val="auto"/>
          <w:kern w:val="0"/>
          <w:sz w:val="24"/>
          <w:szCs w:val="24"/>
          <w:highlight w:val="none"/>
        </w:rPr>
      </w:pPr>
      <w:r>
        <w:rPr>
          <w:color w:val="auto"/>
          <w:kern w:val="0"/>
          <w:sz w:val="24"/>
          <w:szCs w:val="24"/>
          <w:highlight w:val="none"/>
        </w:rPr>
        <w:t>乙方</w:t>
      </w:r>
      <w:r>
        <w:rPr>
          <w:rFonts w:hint="eastAsia"/>
          <w:color w:val="auto"/>
          <w:kern w:val="0"/>
          <w:sz w:val="24"/>
          <w:szCs w:val="24"/>
          <w:highlight w:val="none"/>
        </w:rPr>
        <w:t>提供的货物或服务应符合国家及行业标准、招投标文件、封存样品及本协议的约定（如前述标准不一致的，以更优的标准为准）。</w:t>
      </w:r>
    </w:p>
    <w:p>
      <w:pPr>
        <w:widowControl/>
        <w:adjustRightInd w:val="0"/>
        <w:snapToGrid w:val="0"/>
        <w:spacing w:line="360" w:lineRule="auto"/>
        <w:ind w:left="422"/>
        <w:rPr>
          <w:b/>
          <w:bCs/>
          <w:color w:val="auto"/>
          <w:kern w:val="0"/>
          <w:sz w:val="24"/>
          <w:szCs w:val="24"/>
          <w:highlight w:val="none"/>
        </w:rPr>
      </w:pPr>
      <w:r>
        <w:rPr>
          <w:b/>
          <w:bCs/>
          <w:color w:val="auto"/>
          <w:kern w:val="0"/>
          <w:sz w:val="24"/>
          <w:szCs w:val="24"/>
          <w:highlight w:val="none"/>
        </w:rPr>
        <w:t>四、履约保证金及保函</w:t>
      </w:r>
    </w:p>
    <w:p>
      <w:pPr>
        <w:adjustRightInd w:val="0"/>
        <w:snapToGrid w:val="0"/>
        <w:spacing w:line="360" w:lineRule="auto"/>
        <w:ind w:firstLine="480" w:firstLineChars="200"/>
        <w:rPr>
          <w:color w:val="auto"/>
          <w:sz w:val="24"/>
          <w:szCs w:val="24"/>
          <w:highlight w:val="none"/>
        </w:rPr>
      </w:pPr>
      <w:r>
        <w:rPr>
          <w:color w:val="auto"/>
          <w:sz w:val="24"/>
          <w:szCs w:val="24"/>
          <w:highlight w:val="none"/>
        </w:rPr>
        <w:t>1.为保证乙方全面履行与</w:t>
      </w:r>
      <w:r>
        <w:rPr>
          <w:rFonts w:hint="eastAsia"/>
          <w:color w:val="auto"/>
          <w:sz w:val="24"/>
          <w:szCs w:val="24"/>
          <w:highlight w:val="none"/>
        </w:rPr>
        <w:t>甲方用户</w:t>
      </w:r>
      <w:r>
        <w:rPr>
          <w:color w:val="auto"/>
          <w:sz w:val="24"/>
          <w:szCs w:val="24"/>
          <w:highlight w:val="none"/>
        </w:rPr>
        <w:t>采购合同的各项义务及相关违约责任承担，乙方应于</w:t>
      </w:r>
      <w:r>
        <w:rPr>
          <w:rFonts w:hint="eastAsia" w:ascii="Times New Roman" w:hAnsi="Times New Roman"/>
          <w:color w:val="auto"/>
          <w:sz w:val="24"/>
          <w:szCs w:val="24"/>
          <w:highlight w:val="none"/>
        </w:rPr>
        <w:t>本协议</w:t>
      </w:r>
      <w:r>
        <w:rPr>
          <w:rFonts w:hint="eastAsia" w:ascii="Times New Roman" w:hAnsi="Times New Roman"/>
          <w:color w:val="auto"/>
          <w:sz w:val="24"/>
          <w:szCs w:val="24"/>
          <w:highlight w:val="none"/>
          <w:lang w:val="zh-CN"/>
        </w:rPr>
        <w:t>签订前</w:t>
      </w:r>
      <w:r>
        <w:rPr>
          <w:color w:val="auto"/>
          <w:sz w:val="24"/>
          <w:szCs w:val="24"/>
          <w:highlight w:val="none"/>
        </w:rPr>
        <w:t>，以转账或法律法规规定的能切实发挥履约保证作用的其他形式向甲方支付该分包中标总金额的</w:t>
      </w:r>
      <w:r>
        <w:rPr>
          <w:rFonts w:hint="eastAsia"/>
          <w:color w:val="auto"/>
          <w:sz w:val="24"/>
          <w:szCs w:val="24"/>
          <w:highlight w:val="none"/>
          <w:u w:val="single"/>
        </w:rPr>
        <w:t>5</w:t>
      </w:r>
      <w:r>
        <w:rPr>
          <w:color w:val="auto"/>
          <w:sz w:val="24"/>
          <w:szCs w:val="24"/>
          <w:highlight w:val="none"/>
          <w:u w:val="single"/>
        </w:rPr>
        <w:t>%</w:t>
      </w:r>
      <w:r>
        <w:rPr>
          <w:color w:val="auto"/>
          <w:sz w:val="24"/>
          <w:szCs w:val="24"/>
          <w:highlight w:val="none"/>
        </w:rPr>
        <w:t>的履约保证金</w:t>
      </w:r>
      <w:r>
        <w:rPr>
          <w:rFonts w:hint="eastAsia"/>
          <w:color w:val="auto"/>
          <w:sz w:val="24"/>
          <w:szCs w:val="24"/>
          <w:highlight w:val="none"/>
        </w:rPr>
        <w:t>，即大写：人民币</w:t>
      </w:r>
      <w:r>
        <w:rPr>
          <w:rFonts w:hint="eastAsia"/>
          <w:color w:val="auto"/>
          <w:sz w:val="24"/>
          <w:szCs w:val="24"/>
          <w:highlight w:val="none"/>
          <w:u w:val="single"/>
        </w:rPr>
        <w:t>XXX元整</w:t>
      </w:r>
      <w:r>
        <w:rPr>
          <w:rFonts w:hint="eastAsia"/>
          <w:color w:val="auto"/>
          <w:sz w:val="24"/>
          <w:szCs w:val="24"/>
          <w:highlight w:val="none"/>
        </w:rPr>
        <w:t>，小写：¥XXX元</w:t>
      </w:r>
      <w:r>
        <w:rPr>
          <w:color w:val="auto"/>
          <w:sz w:val="24"/>
          <w:szCs w:val="24"/>
          <w:highlight w:val="none"/>
        </w:rPr>
        <w:t>。</w:t>
      </w:r>
    </w:p>
    <w:p>
      <w:pPr>
        <w:adjustRightInd w:val="0"/>
        <w:snapToGrid w:val="0"/>
        <w:spacing w:line="360" w:lineRule="auto"/>
        <w:ind w:firstLine="480" w:firstLineChars="200"/>
        <w:rPr>
          <w:color w:val="auto"/>
          <w:sz w:val="24"/>
          <w:szCs w:val="24"/>
          <w:highlight w:val="none"/>
        </w:rPr>
      </w:pPr>
      <w:r>
        <w:rPr>
          <w:color w:val="auto"/>
          <w:sz w:val="24"/>
          <w:szCs w:val="24"/>
          <w:highlight w:val="none"/>
        </w:rPr>
        <w:t>2.如乙方选择以保函形式提交履约保证金的。则该保函应为金融机构出具的独立保函，该保函需载明：（1）见索即付；（2）收到甲方法定代表人或授权委托代理人签字确认并加盖公章的书面索赔通知后即应不争辩、不挑剔、不可撤销地向甲方支付索赔款，直至最高担保金额；（3）有效期为保函开具之日起至</w:t>
      </w:r>
      <w:r>
        <w:rPr>
          <w:rFonts w:hint="eastAsia"/>
          <w:color w:val="auto"/>
          <w:kern w:val="0"/>
          <w:sz w:val="24"/>
          <w:szCs w:val="24"/>
          <w:highlight w:val="none"/>
          <w:u w:val="single"/>
        </w:rPr>
        <w:t>质保期结束</w:t>
      </w:r>
      <w:r>
        <w:rPr>
          <w:color w:val="auto"/>
          <w:sz w:val="24"/>
          <w:szCs w:val="24"/>
          <w:highlight w:val="none"/>
        </w:rPr>
        <w:t>为止；（4）担保金额为</w:t>
      </w:r>
      <w:r>
        <w:rPr>
          <w:rFonts w:hint="eastAsia"/>
          <w:color w:val="auto"/>
          <w:sz w:val="24"/>
          <w:szCs w:val="24"/>
          <w:highlight w:val="none"/>
        </w:rPr>
        <w:t>中标</w:t>
      </w:r>
      <w:r>
        <w:rPr>
          <w:color w:val="auto"/>
          <w:sz w:val="24"/>
          <w:szCs w:val="24"/>
          <w:highlight w:val="none"/>
        </w:rPr>
        <w:t>金额的</w:t>
      </w:r>
      <w:r>
        <w:rPr>
          <w:rFonts w:hint="eastAsia"/>
          <w:color w:val="auto"/>
          <w:sz w:val="24"/>
          <w:szCs w:val="24"/>
          <w:highlight w:val="none"/>
          <w:u w:val="single"/>
        </w:rPr>
        <w:t>5</w:t>
      </w:r>
      <w:r>
        <w:rPr>
          <w:color w:val="auto"/>
          <w:sz w:val="24"/>
          <w:szCs w:val="24"/>
          <w:highlight w:val="none"/>
          <w:u w:val="single"/>
        </w:rPr>
        <w:t>%</w:t>
      </w:r>
      <w:r>
        <w:rPr>
          <w:color w:val="auto"/>
          <w:sz w:val="24"/>
          <w:szCs w:val="24"/>
          <w:highlight w:val="none"/>
        </w:rPr>
        <w:t>。如乙方提供的保函未载明前述内容的，甲方直接拒收该保函，乙方应以法律法规规定的能切实发挥履约保证作用的其他形式提供履约保证金。</w:t>
      </w:r>
    </w:p>
    <w:p>
      <w:pPr>
        <w:pStyle w:val="22"/>
        <w:spacing w:line="360" w:lineRule="auto"/>
        <w:rPr>
          <w:rFonts w:eastAsiaTheme="minorEastAsia"/>
          <w:color w:val="auto"/>
          <w:sz w:val="24"/>
          <w:szCs w:val="24"/>
          <w:highlight w:val="none"/>
        </w:rPr>
      </w:pPr>
      <w:r>
        <w:rPr>
          <w:rFonts w:hint="eastAsia" w:eastAsiaTheme="minorEastAsia"/>
          <w:color w:val="auto"/>
          <w:sz w:val="24"/>
          <w:szCs w:val="24"/>
          <w:highlight w:val="none"/>
        </w:rPr>
        <w:t>3.履约保证金期限：</w:t>
      </w:r>
      <w:r>
        <w:rPr>
          <w:rFonts w:hint="eastAsia" w:eastAsiaTheme="minorEastAsia"/>
          <w:color w:val="auto"/>
          <w:sz w:val="24"/>
          <w:szCs w:val="24"/>
          <w:highlight w:val="none"/>
          <w:lang w:eastAsia="zh-Hans"/>
        </w:rPr>
        <w:t>提交之日起至质保期结束为止</w:t>
      </w:r>
      <w:r>
        <w:rPr>
          <w:rFonts w:hint="eastAsia" w:eastAsiaTheme="minorEastAsia"/>
          <w:color w:val="auto"/>
          <w:sz w:val="24"/>
          <w:szCs w:val="24"/>
          <w:highlight w:val="none"/>
        </w:rPr>
        <w:t>。</w:t>
      </w:r>
    </w:p>
    <w:p>
      <w:pPr>
        <w:adjustRightInd w:val="0"/>
        <w:snapToGrid w:val="0"/>
        <w:spacing w:line="360" w:lineRule="auto"/>
        <w:ind w:firstLine="480" w:firstLineChars="200"/>
        <w:rPr>
          <w:color w:val="auto"/>
          <w:sz w:val="24"/>
          <w:szCs w:val="24"/>
          <w:highlight w:val="none"/>
        </w:rPr>
      </w:pPr>
      <w:r>
        <w:rPr>
          <w:rFonts w:hint="eastAsia"/>
          <w:color w:val="auto"/>
          <w:sz w:val="24"/>
          <w:szCs w:val="24"/>
          <w:highlight w:val="none"/>
        </w:rPr>
        <w:t>4</w:t>
      </w:r>
      <w:r>
        <w:rPr>
          <w:color w:val="auto"/>
          <w:sz w:val="24"/>
          <w:szCs w:val="24"/>
          <w:highlight w:val="none"/>
        </w:rPr>
        <w:t>.</w:t>
      </w:r>
      <w:r>
        <w:rPr>
          <w:rFonts w:hint="eastAsia"/>
          <w:color w:val="auto"/>
          <w:sz w:val="24"/>
          <w:szCs w:val="24"/>
          <w:highlight w:val="none"/>
        </w:rPr>
        <w:t>履约保证金的作用及退还：</w:t>
      </w:r>
      <w:r>
        <w:rPr>
          <w:color w:val="auto"/>
          <w:sz w:val="24"/>
          <w:szCs w:val="24"/>
          <w:highlight w:val="none"/>
        </w:rPr>
        <w:t>履约保证金用以确保乙方履行承担</w:t>
      </w:r>
      <w:r>
        <w:rPr>
          <w:rFonts w:hint="eastAsia"/>
          <w:color w:val="auto"/>
          <w:sz w:val="24"/>
          <w:szCs w:val="24"/>
          <w:highlight w:val="none"/>
        </w:rPr>
        <w:t>总体</w:t>
      </w:r>
      <w:r>
        <w:rPr>
          <w:color w:val="auto"/>
          <w:sz w:val="24"/>
          <w:szCs w:val="24"/>
          <w:highlight w:val="none"/>
        </w:rPr>
        <w:t>协议、采购合同（甲方与乙方签订、甲方用户与乙方签订）中的所有义务及产生的全部违约责任。对于乙方在履行与甲方签订的采购合同时所应承担的违约责任/索赔金额/罚金，甲方有权直接使用乙方提供的履</w:t>
      </w:r>
      <w:r>
        <w:rPr>
          <w:rFonts w:hint="eastAsia"/>
          <w:color w:val="auto"/>
          <w:sz w:val="24"/>
          <w:szCs w:val="24"/>
          <w:highlight w:val="none"/>
        </w:rPr>
        <w:t>约</w:t>
      </w:r>
      <w:r>
        <w:rPr>
          <w:color w:val="auto"/>
          <w:sz w:val="24"/>
          <w:szCs w:val="24"/>
          <w:highlight w:val="none"/>
        </w:rPr>
        <w:t>保证金进行抵扣或向出具独立保函的金融机构主张索赔；对于乙方在履行与甲方下属消防救援</w:t>
      </w:r>
      <w:r>
        <w:rPr>
          <w:rFonts w:hint="eastAsia"/>
          <w:color w:val="auto"/>
          <w:sz w:val="24"/>
          <w:szCs w:val="24"/>
          <w:highlight w:val="none"/>
        </w:rPr>
        <w:t>支</w:t>
      </w:r>
      <w:r>
        <w:rPr>
          <w:color w:val="auto"/>
          <w:sz w:val="24"/>
          <w:szCs w:val="24"/>
          <w:highlight w:val="none"/>
        </w:rPr>
        <w:t>队签订的采购合同时所应承担的违约责任/索赔金额/罚金，甲方下属消防救援</w:t>
      </w:r>
      <w:r>
        <w:rPr>
          <w:rFonts w:hint="eastAsia"/>
          <w:color w:val="auto"/>
          <w:sz w:val="24"/>
          <w:szCs w:val="24"/>
          <w:highlight w:val="none"/>
        </w:rPr>
        <w:t>支</w:t>
      </w:r>
      <w:r>
        <w:rPr>
          <w:color w:val="auto"/>
          <w:sz w:val="24"/>
          <w:szCs w:val="24"/>
          <w:highlight w:val="none"/>
        </w:rPr>
        <w:t>队有权通知甲方直接使用乙方提供的</w:t>
      </w:r>
      <w:r>
        <w:rPr>
          <w:rFonts w:hint="eastAsia"/>
          <w:color w:val="auto"/>
          <w:sz w:val="24"/>
          <w:szCs w:val="24"/>
          <w:highlight w:val="none"/>
          <w:lang w:val="en-US" w:eastAsia="zh-CN"/>
        </w:rPr>
        <w:t>履约保证金</w:t>
      </w:r>
      <w:r>
        <w:rPr>
          <w:color w:val="auto"/>
          <w:sz w:val="24"/>
          <w:szCs w:val="24"/>
          <w:highlight w:val="none"/>
        </w:rPr>
        <w:t>进行抵扣或委托甲方以甲方的名义直接向出具独立保函的金融机构主张索赔。</w:t>
      </w:r>
    </w:p>
    <w:p>
      <w:pPr>
        <w:adjustRightInd w:val="0"/>
        <w:snapToGrid w:val="0"/>
        <w:spacing w:line="360" w:lineRule="auto"/>
        <w:ind w:firstLine="480" w:firstLineChars="200"/>
        <w:rPr>
          <w:color w:val="auto"/>
          <w:sz w:val="24"/>
          <w:szCs w:val="24"/>
          <w:highlight w:val="none"/>
        </w:rPr>
      </w:pPr>
      <w:r>
        <w:rPr>
          <w:rFonts w:hint="eastAsia"/>
          <w:color w:val="auto"/>
          <w:sz w:val="24"/>
          <w:szCs w:val="24"/>
          <w:highlight w:val="none"/>
        </w:rPr>
        <w:t>5</w:t>
      </w:r>
      <w:r>
        <w:rPr>
          <w:color w:val="auto"/>
          <w:sz w:val="24"/>
          <w:szCs w:val="24"/>
          <w:highlight w:val="none"/>
        </w:rPr>
        <w:t>.</w:t>
      </w:r>
      <w:r>
        <w:rPr>
          <w:rFonts w:hint="eastAsia"/>
          <w:color w:val="auto"/>
          <w:sz w:val="24"/>
          <w:szCs w:val="24"/>
          <w:highlight w:val="none"/>
        </w:rPr>
        <w:t>乙方无违约责任时，</w:t>
      </w:r>
      <w:r>
        <w:rPr>
          <w:rFonts w:hint="eastAsia"/>
          <w:color w:val="auto"/>
          <w:sz w:val="24"/>
          <w:szCs w:val="24"/>
          <w:highlight w:val="none"/>
          <w:lang w:val="zh-CN"/>
        </w:rPr>
        <w:t>货物质保期（</w:t>
      </w:r>
      <w:r>
        <w:rPr>
          <w:rFonts w:hint="eastAsia"/>
          <w:color w:val="auto"/>
          <w:sz w:val="24"/>
          <w:szCs w:val="24"/>
          <w:highlight w:val="none"/>
        </w:rPr>
        <w:t>自验收合格之日起</w:t>
      </w:r>
      <w:r>
        <w:rPr>
          <w:rFonts w:hint="eastAsia"/>
          <w:color w:val="auto"/>
          <w:sz w:val="24"/>
          <w:szCs w:val="24"/>
          <w:highlight w:val="none"/>
          <w:u w:val="single"/>
        </w:rPr>
        <w:t xml:space="preserve">   </w:t>
      </w:r>
      <w:r>
        <w:rPr>
          <w:rFonts w:hint="eastAsia"/>
          <w:color w:val="auto"/>
          <w:sz w:val="24"/>
          <w:szCs w:val="24"/>
          <w:highlight w:val="none"/>
        </w:rPr>
        <w:t>年</w:t>
      </w:r>
      <w:r>
        <w:rPr>
          <w:rFonts w:hint="eastAsia"/>
          <w:color w:val="auto"/>
          <w:sz w:val="24"/>
          <w:szCs w:val="24"/>
          <w:highlight w:val="none"/>
          <w:lang w:val="zh-CN"/>
        </w:rPr>
        <w:t>）满后，若无质量问题或质量问题已解决达到甲方要求，向乙方无息返还5％（即¥</w:t>
      </w:r>
      <w:r>
        <w:rPr>
          <w:rFonts w:hint="eastAsia"/>
          <w:color w:val="auto"/>
          <w:sz w:val="24"/>
          <w:szCs w:val="24"/>
          <w:highlight w:val="none"/>
        </w:rPr>
        <w:t>XXX</w:t>
      </w:r>
      <w:r>
        <w:rPr>
          <w:rFonts w:hint="eastAsia"/>
          <w:color w:val="auto"/>
          <w:sz w:val="24"/>
          <w:szCs w:val="24"/>
          <w:highlight w:val="none"/>
          <w:lang w:val="zh-CN"/>
        </w:rPr>
        <w:t>元</w:t>
      </w:r>
      <w:r>
        <w:rPr>
          <w:rFonts w:hint="eastAsia"/>
          <w:color w:val="auto"/>
          <w:sz w:val="24"/>
          <w:szCs w:val="24"/>
          <w:highlight w:val="none"/>
        </w:rPr>
        <w:t>）</w:t>
      </w:r>
      <w:r>
        <w:rPr>
          <w:rFonts w:hint="eastAsia"/>
          <w:color w:val="auto"/>
          <w:sz w:val="24"/>
          <w:szCs w:val="24"/>
          <w:highlight w:val="none"/>
          <w:lang w:val="zh-CN"/>
        </w:rPr>
        <w:t>的履约保证金</w:t>
      </w:r>
      <w:r>
        <w:rPr>
          <w:color w:val="auto"/>
          <w:sz w:val="24"/>
          <w:szCs w:val="24"/>
          <w:highlight w:val="none"/>
        </w:rPr>
        <w:t>。</w:t>
      </w:r>
    </w:p>
    <w:p>
      <w:pPr>
        <w:adjustRightInd w:val="0"/>
        <w:snapToGrid w:val="0"/>
        <w:spacing w:line="360" w:lineRule="auto"/>
        <w:ind w:firstLine="480" w:firstLineChars="200"/>
        <w:rPr>
          <w:color w:val="auto"/>
          <w:sz w:val="24"/>
          <w:szCs w:val="24"/>
          <w:highlight w:val="none"/>
        </w:rPr>
      </w:pPr>
      <w:r>
        <w:rPr>
          <w:rFonts w:hint="eastAsia"/>
          <w:color w:val="auto"/>
          <w:sz w:val="24"/>
          <w:szCs w:val="24"/>
          <w:highlight w:val="none"/>
        </w:rPr>
        <w:t>6</w:t>
      </w:r>
      <w:r>
        <w:rPr>
          <w:color w:val="auto"/>
          <w:sz w:val="24"/>
          <w:szCs w:val="24"/>
          <w:highlight w:val="none"/>
        </w:rPr>
        <w:t>.</w:t>
      </w:r>
      <w:r>
        <w:rPr>
          <w:rFonts w:hint="eastAsia"/>
          <w:color w:val="auto"/>
          <w:sz w:val="24"/>
          <w:szCs w:val="24"/>
          <w:highlight w:val="none"/>
        </w:rPr>
        <w:t>乙方向吉林省消防救援总队提交履约保证金后，乙方和甲方用户签订和实施采购合同时，无需再约定和提交履约保证金。</w:t>
      </w:r>
    </w:p>
    <w:p>
      <w:pPr>
        <w:adjustRightInd w:val="0"/>
        <w:snapToGrid w:val="0"/>
        <w:spacing w:line="360" w:lineRule="auto"/>
        <w:ind w:firstLine="480" w:firstLineChars="200"/>
        <w:rPr>
          <w:color w:val="auto"/>
          <w:kern w:val="0"/>
          <w:sz w:val="24"/>
          <w:szCs w:val="24"/>
          <w:highlight w:val="none"/>
        </w:rPr>
      </w:pPr>
      <w:r>
        <w:rPr>
          <w:rFonts w:hint="eastAsia"/>
          <w:color w:val="auto"/>
          <w:sz w:val="24"/>
          <w:szCs w:val="24"/>
          <w:highlight w:val="none"/>
        </w:rPr>
        <w:t>7</w:t>
      </w:r>
      <w:r>
        <w:rPr>
          <w:color w:val="auto"/>
          <w:sz w:val="24"/>
          <w:szCs w:val="24"/>
          <w:highlight w:val="none"/>
        </w:rPr>
        <w:t>.无论履约保证金、独立保函，甲方或</w:t>
      </w:r>
      <w:r>
        <w:rPr>
          <w:rFonts w:hint="eastAsia"/>
          <w:color w:val="auto"/>
          <w:sz w:val="24"/>
          <w:szCs w:val="24"/>
          <w:highlight w:val="none"/>
        </w:rPr>
        <w:t>用户</w:t>
      </w:r>
      <w:r>
        <w:rPr>
          <w:color w:val="auto"/>
          <w:sz w:val="24"/>
          <w:szCs w:val="24"/>
          <w:highlight w:val="none"/>
        </w:rPr>
        <w:t>随时都有权对由乙方生产的尚未使用的仍在质量保证期内的库存产品发生的质量问题向乙方主张索赔。</w:t>
      </w:r>
    </w:p>
    <w:p>
      <w:pPr>
        <w:widowControl/>
        <w:adjustRightInd w:val="0"/>
        <w:snapToGrid w:val="0"/>
        <w:spacing w:line="360" w:lineRule="auto"/>
        <w:ind w:firstLine="482" w:firstLineChars="200"/>
        <w:jc w:val="left"/>
        <w:rPr>
          <w:b/>
          <w:color w:val="auto"/>
          <w:kern w:val="0"/>
          <w:sz w:val="24"/>
          <w:szCs w:val="24"/>
          <w:highlight w:val="none"/>
        </w:rPr>
      </w:pPr>
      <w:r>
        <w:rPr>
          <w:rFonts w:hint="eastAsia"/>
          <w:b/>
          <w:color w:val="auto"/>
          <w:kern w:val="0"/>
          <w:sz w:val="24"/>
          <w:szCs w:val="24"/>
          <w:highlight w:val="none"/>
        </w:rPr>
        <w:t>五、货物生产及发货</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1.乙方应于本协议签订后安排货物生产。</w:t>
      </w:r>
    </w:p>
    <w:p>
      <w:pPr>
        <w:pStyle w:val="22"/>
        <w:spacing w:line="360" w:lineRule="auto"/>
        <w:rPr>
          <w:rFonts w:eastAsiaTheme="minorEastAsia"/>
          <w:color w:val="auto"/>
          <w:kern w:val="0"/>
          <w:sz w:val="24"/>
          <w:szCs w:val="24"/>
          <w:highlight w:val="none"/>
        </w:rPr>
      </w:pPr>
      <w:r>
        <w:rPr>
          <w:rFonts w:hint="eastAsia" w:eastAsiaTheme="minorEastAsia"/>
          <w:color w:val="auto"/>
          <w:kern w:val="0"/>
          <w:sz w:val="24"/>
          <w:szCs w:val="24"/>
          <w:highlight w:val="none"/>
        </w:rPr>
        <w:t>2.货物发运可以一次性或分批次发货，但每个用户的全部货物必须在同一批发运，并在货物发运前向</w:t>
      </w:r>
      <w:r>
        <w:rPr>
          <w:rFonts w:hint="eastAsia" w:eastAsiaTheme="minorEastAsia" w:cstheme="minorBidi"/>
          <w:color w:val="auto"/>
          <w:kern w:val="0"/>
          <w:sz w:val="24"/>
          <w:szCs w:val="24"/>
          <w:highlight w:val="none"/>
        </w:rPr>
        <w:t>甲方及甲方用户</w:t>
      </w:r>
      <w:r>
        <w:rPr>
          <w:rFonts w:hint="eastAsia" w:eastAsiaTheme="minorEastAsia"/>
          <w:color w:val="auto"/>
          <w:kern w:val="0"/>
          <w:sz w:val="24"/>
          <w:szCs w:val="24"/>
          <w:highlight w:val="none"/>
        </w:rPr>
        <w:t>报送发货清单（附件三）。</w:t>
      </w:r>
    </w:p>
    <w:p>
      <w:pPr>
        <w:pStyle w:val="22"/>
        <w:spacing w:line="360" w:lineRule="auto"/>
        <w:rPr>
          <w:rFonts w:eastAsiaTheme="minorEastAsia"/>
          <w:color w:val="auto"/>
          <w:kern w:val="0"/>
          <w:sz w:val="24"/>
          <w:szCs w:val="24"/>
          <w:highlight w:val="none"/>
        </w:rPr>
      </w:pPr>
      <w:r>
        <w:rPr>
          <w:rFonts w:hint="eastAsia" w:eastAsiaTheme="minorEastAsia"/>
          <w:color w:val="auto"/>
          <w:kern w:val="0"/>
          <w:sz w:val="24"/>
          <w:szCs w:val="24"/>
          <w:highlight w:val="none"/>
        </w:rPr>
        <w:t>3.在本协议签订后</w:t>
      </w:r>
      <w:r>
        <w:rPr>
          <w:rFonts w:hint="eastAsia" w:eastAsiaTheme="minorEastAsia"/>
          <w:color w:val="auto"/>
          <w:kern w:val="0"/>
          <w:sz w:val="24"/>
          <w:szCs w:val="24"/>
          <w:highlight w:val="none"/>
          <w:u w:val="single"/>
        </w:rPr>
        <w:t xml:space="preserve">   </w:t>
      </w:r>
      <w:r>
        <w:rPr>
          <w:rFonts w:hint="eastAsia" w:eastAsiaTheme="minorEastAsia"/>
          <w:color w:val="auto"/>
          <w:kern w:val="0"/>
          <w:sz w:val="24"/>
          <w:szCs w:val="24"/>
          <w:highlight w:val="none"/>
        </w:rPr>
        <w:t>个月之内向全部用户交付完毕全部货物。</w:t>
      </w:r>
    </w:p>
    <w:p>
      <w:pPr>
        <w:widowControl/>
        <w:adjustRightInd w:val="0"/>
        <w:snapToGrid w:val="0"/>
        <w:spacing w:line="360" w:lineRule="auto"/>
        <w:ind w:firstLine="482" w:firstLineChars="200"/>
        <w:rPr>
          <w:rFonts w:hint="eastAsia" w:eastAsia="宋体"/>
          <w:b/>
          <w:bCs/>
          <w:color w:val="auto"/>
          <w:kern w:val="0"/>
          <w:sz w:val="24"/>
          <w:szCs w:val="24"/>
          <w:highlight w:val="none"/>
          <w:lang w:eastAsia="zh-CN"/>
        </w:rPr>
      </w:pPr>
      <w:r>
        <w:rPr>
          <w:rFonts w:hint="eastAsia"/>
          <w:b/>
          <w:bCs/>
          <w:color w:val="auto"/>
          <w:kern w:val="0"/>
          <w:sz w:val="24"/>
          <w:szCs w:val="24"/>
          <w:highlight w:val="none"/>
        </w:rPr>
        <w:t>六、</w:t>
      </w:r>
      <w:r>
        <w:rPr>
          <w:b/>
          <w:bCs/>
          <w:color w:val="auto"/>
          <w:kern w:val="0"/>
          <w:sz w:val="24"/>
          <w:szCs w:val="24"/>
          <w:highlight w:val="none"/>
        </w:rPr>
        <w:t>货物的验收</w:t>
      </w:r>
      <w:r>
        <w:rPr>
          <w:rFonts w:hint="eastAsia"/>
          <w:b/>
          <w:bCs/>
          <w:color w:val="auto"/>
          <w:kern w:val="0"/>
          <w:sz w:val="24"/>
          <w:szCs w:val="24"/>
          <w:highlight w:val="none"/>
          <w:lang w:eastAsia="zh-CN"/>
        </w:rPr>
        <w:t>、</w:t>
      </w:r>
      <w:r>
        <w:rPr>
          <w:b/>
          <w:bCs/>
          <w:color w:val="auto"/>
          <w:kern w:val="0"/>
          <w:sz w:val="24"/>
          <w:szCs w:val="24"/>
          <w:highlight w:val="none"/>
        </w:rPr>
        <w:t>检验</w:t>
      </w:r>
      <w:r>
        <w:rPr>
          <w:rFonts w:hint="eastAsia"/>
          <w:b/>
          <w:color w:val="auto"/>
          <w:kern w:val="0"/>
          <w:sz w:val="24"/>
          <w:szCs w:val="24"/>
          <w:highlight w:val="none"/>
          <w:lang w:eastAsia="zh-CN"/>
        </w:rPr>
        <w:t>、</w:t>
      </w:r>
      <w:r>
        <w:rPr>
          <w:rFonts w:hint="eastAsia"/>
          <w:b/>
          <w:color w:val="auto"/>
          <w:kern w:val="0"/>
          <w:sz w:val="24"/>
          <w:szCs w:val="24"/>
          <w:highlight w:val="none"/>
          <w:lang w:val="en-US" w:eastAsia="zh-CN"/>
        </w:rPr>
        <w:t>付款</w:t>
      </w:r>
    </w:p>
    <w:p>
      <w:pPr>
        <w:widowControl/>
        <w:adjustRightInd w:val="0"/>
        <w:snapToGrid w:val="0"/>
        <w:spacing w:line="360" w:lineRule="auto"/>
        <w:ind w:firstLine="480" w:firstLineChars="200"/>
        <w:jc w:val="left"/>
        <w:rPr>
          <w:color w:val="auto"/>
          <w:kern w:val="0"/>
          <w:sz w:val="24"/>
          <w:szCs w:val="24"/>
          <w:highlight w:val="none"/>
          <w:lang w:val="zh-CN"/>
        </w:rPr>
      </w:pPr>
      <w:r>
        <w:rPr>
          <w:rFonts w:hint="eastAsia"/>
          <w:color w:val="auto"/>
          <w:kern w:val="0"/>
          <w:sz w:val="24"/>
          <w:szCs w:val="24"/>
          <w:highlight w:val="none"/>
        </w:rPr>
        <w:t>1.</w:t>
      </w:r>
      <w:r>
        <w:rPr>
          <w:rFonts w:hint="eastAsia"/>
          <w:color w:val="auto"/>
          <w:kern w:val="0"/>
          <w:sz w:val="24"/>
          <w:szCs w:val="24"/>
          <w:highlight w:val="none"/>
          <w:lang w:val="zh-CN"/>
        </w:rPr>
        <w:t>乙方提交的货物到货后30日内甲方负责检验验收或由甲方聘请当地质检（商检）部门或国家有关部门对货物的品种、规格、性能、质量、数量、外观以及配件等进行检验，并出具检验证书，检验费用由乙方承担。</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2.供方交货时应提交：销售发票，投标文件中承诺的国家有关质检机构出具的检验报告或证书，制造厂商出具的质量检验证书、产品合格证等。</w:t>
      </w:r>
    </w:p>
    <w:p>
      <w:pPr>
        <w:widowControl/>
        <w:adjustRightInd w:val="0"/>
        <w:snapToGrid w:val="0"/>
        <w:spacing w:line="360" w:lineRule="auto"/>
        <w:ind w:firstLine="480" w:firstLineChars="200"/>
        <w:jc w:val="left"/>
        <w:rPr>
          <w:color w:val="auto"/>
          <w:kern w:val="0"/>
          <w:sz w:val="24"/>
          <w:szCs w:val="24"/>
          <w:highlight w:val="none"/>
          <w:lang w:val="zh-CN"/>
        </w:rPr>
      </w:pPr>
      <w:r>
        <w:rPr>
          <w:rFonts w:hint="eastAsia"/>
          <w:color w:val="auto"/>
          <w:kern w:val="0"/>
          <w:sz w:val="24"/>
          <w:szCs w:val="24"/>
          <w:highlight w:val="none"/>
        </w:rPr>
        <w:t>3.</w:t>
      </w:r>
      <w:r>
        <w:rPr>
          <w:rFonts w:hint="eastAsia"/>
          <w:color w:val="auto"/>
          <w:kern w:val="0"/>
          <w:sz w:val="24"/>
          <w:szCs w:val="24"/>
          <w:highlight w:val="none"/>
          <w:lang w:val="zh-CN"/>
        </w:rPr>
        <w:t>验收过程中，如果甲乙双方对合同标的质量发生争议，应当聘请国家消防装备质量监督检验中心或国家有关部门对有争议的货物质量进行鉴定，</w:t>
      </w:r>
      <w:r>
        <w:rPr>
          <w:rFonts w:hint="eastAsia"/>
          <w:color w:val="auto"/>
          <w:kern w:val="0"/>
          <w:sz w:val="24"/>
          <w:szCs w:val="24"/>
          <w:highlight w:val="none"/>
          <w:lang w:val="zh-CN" w:eastAsia="zh-CN"/>
        </w:rPr>
        <w:t>检验费先由乙方支付，最终由责任方承担。</w:t>
      </w:r>
      <w:r>
        <w:rPr>
          <w:rFonts w:hint="eastAsia"/>
          <w:color w:val="auto"/>
          <w:kern w:val="0"/>
          <w:sz w:val="24"/>
          <w:szCs w:val="24"/>
          <w:highlight w:val="none"/>
          <w:lang w:val="zh-CN"/>
        </w:rPr>
        <w:t>按照规定必须由国家有关部门或者机构检验合格才允许使用的货物，由乙方负责（甲方配合）向有关部门或者机构申请检验并取得检验合格的报告（证书）或者使用许可证，费用包含在乙方的合同总价中。</w:t>
      </w:r>
    </w:p>
    <w:p>
      <w:pPr>
        <w:pStyle w:val="8"/>
        <w:spacing w:line="360" w:lineRule="auto"/>
        <w:ind w:firstLine="480" w:firstLineChars="200"/>
        <w:rPr>
          <w:color w:val="auto"/>
          <w:sz w:val="24"/>
          <w:szCs w:val="24"/>
          <w:highlight w:val="none"/>
        </w:rPr>
      </w:pPr>
      <w:r>
        <w:rPr>
          <w:rFonts w:hint="eastAsia"/>
          <w:color w:val="auto"/>
          <w:kern w:val="0"/>
          <w:sz w:val="24"/>
          <w:szCs w:val="24"/>
          <w:highlight w:val="none"/>
        </w:rPr>
        <w:t>4.验收前，乙方向甲方提供本合同所列明货物金额的发票等文件，验收合格的，乙方在验收报告单上签字并加盖单位公章，作为验收合格、同意付款的依据。验收不合格的，按照甲方下达的整改期限内进行整改，整改后，仍未达到合同约定技术要求的，或整改时间超过甲方下达的整改期限，甲方有权单方解除合同，所产生的费用由乙方承担，</w:t>
      </w:r>
      <w:r>
        <w:rPr>
          <w:rFonts w:hint="eastAsia"/>
          <w:color w:val="auto"/>
          <w:sz w:val="24"/>
          <w:szCs w:val="24"/>
          <w:highlight w:val="none"/>
        </w:rPr>
        <w:t>同时甲方扣留全部履约保证金，对于乙方造成的损失超过履约保证金的部分，甲方有权要求乙方照实际损失予以赔偿。</w:t>
      </w:r>
      <w:r>
        <w:rPr>
          <w:rFonts w:hint="eastAsia"/>
          <w:color w:val="auto"/>
          <w:kern w:val="0"/>
          <w:sz w:val="24"/>
          <w:szCs w:val="24"/>
          <w:highlight w:val="none"/>
          <w:lang w:val="en-US" w:eastAsia="zh-CN"/>
        </w:rPr>
        <w:t>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5.甲方根据国家现行质量标准及行业标准规定接收</w:t>
      </w:r>
      <w:r>
        <w:rPr>
          <w:rFonts w:hint="eastAsia"/>
          <w:color w:val="auto"/>
          <w:kern w:val="0"/>
          <w:sz w:val="24"/>
          <w:szCs w:val="24"/>
          <w:highlight w:val="none"/>
          <w:lang w:val="en-US" w:eastAsia="zh-CN"/>
        </w:rPr>
        <w:t>货</w:t>
      </w:r>
      <w:r>
        <w:rPr>
          <w:rFonts w:hint="eastAsia"/>
          <w:color w:val="auto"/>
          <w:kern w:val="0"/>
          <w:sz w:val="24"/>
          <w:szCs w:val="24"/>
          <w:highlight w:val="none"/>
        </w:rPr>
        <w:t>物，验收标准以中标人的投标文件技术参数资料为标准进行验收，同时乙方需提供有关质检机构出具的检验报告或证书、制造厂商出具的质量检验证书、产品合格证、消防产品认证证书等手续，否则，甲方有权不予验收。</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6.验收发现恶意提供劣质标的，如以次充好、低于招标技术参数、同批货物中明显有不合格产品等情况，需方无论使用与否，供方应无条件接受退货，并承担所有与认证鉴定有关的全部费用及需方蒙受的全部直接损失。乙方需退还全部货款，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widowControl/>
        <w:adjustRightInd w:val="0"/>
        <w:snapToGrid w:val="0"/>
        <w:spacing w:line="360" w:lineRule="auto"/>
        <w:ind w:firstLine="480" w:firstLineChars="200"/>
        <w:jc w:val="left"/>
        <w:rPr>
          <w:rFonts w:hint="eastAsia" w:eastAsia="宋体" w:cs="Times New Roman"/>
          <w:color w:val="auto"/>
          <w:kern w:val="0"/>
          <w:sz w:val="24"/>
          <w:szCs w:val="24"/>
          <w:highlight w:val="none"/>
          <w:lang w:val="en-US" w:eastAsia="zh-CN"/>
        </w:rPr>
      </w:pPr>
      <w:r>
        <w:rPr>
          <w:rFonts w:hint="eastAsia" w:eastAsia="宋体" w:cs="Times New Roman"/>
          <w:color w:val="auto"/>
          <w:kern w:val="0"/>
          <w:sz w:val="24"/>
          <w:szCs w:val="24"/>
          <w:highlight w:val="none"/>
          <w:lang w:val="en-US" w:eastAsia="zh-CN"/>
        </w:rPr>
        <w:t>7.付款：以本</w:t>
      </w:r>
      <w:r>
        <w:rPr>
          <w:rFonts w:hint="eastAsia" w:cs="Times New Roman"/>
          <w:color w:val="auto"/>
          <w:kern w:val="0"/>
          <w:sz w:val="24"/>
          <w:szCs w:val="24"/>
          <w:highlight w:val="none"/>
          <w:lang w:val="en-US" w:eastAsia="zh-CN"/>
        </w:rPr>
        <w:t>协议</w:t>
      </w:r>
      <w:r>
        <w:rPr>
          <w:rFonts w:hint="eastAsia" w:eastAsia="宋体" w:cs="Times New Roman"/>
          <w:color w:val="auto"/>
          <w:kern w:val="0"/>
          <w:sz w:val="24"/>
          <w:szCs w:val="24"/>
          <w:highlight w:val="none"/>
          <w:lang w:val="en-US" w:eastAsia="zh-CN"/>
        </w:rPr>
        <w:t>以及甲方用户与乙方签订的合同约定为准。</w:t>
      </w:r>
    </w:p>
    <w:p>
      <w:pPr>
        <w:widowControl/>
        <w:adjustRightInd w:val="0"/>
        <w:snapToGrid w:val="0"/>
        <w:spacing w:line="360" w:lineRule="auto"/>
        <w:ind w:firstLine="482" w:firstLineChars="200"/>
        <w:jc w:val="left"/>
        <w:rPr>
          <w:b/>
          <w:color w:val="auto"/>
          <w:kern w:val="0"/>
          <w:sz w:val="24"/>
          <w:szCs w:val="24"/>
          <w:highlight w:val="none"/>
        </w:rPr>
      </w:pPr>
      <w:r>
        <w:rPr>
          <w:rFonts w:hint="eastAsia"/>
          <w:b/>
          <w:color w:val="auto"/>
          <w:kern w:val="0"/>
          <w:sz w:val="24"/>
          <w:szCs w:val="24"/>
          <w:highlight w:val="none"/>
        </w:rPr>
        <w:t>七、抽样送检</w:t>
      </w:r>
    </w:p>
    <w:p>
      <w:pPr>
        <w:widowControl/>
        <w:adjustRightInd w:val="0"/>
        <w:snapToGrid w:val="0"/>
        <w:spacing w:line="360" w:lineRule="auto"/>
        <w:ind w:firstLine="480" w:firstLineChars="200"/>
        <w:jc w:val="left"/>
        <w:rPr>
          <w:rFonts w:hint="eastAsia"/>
          <w:color w:val="auto"/>
          <w:kern w:val="0"/>
          <w:sz w:val="24"/>
          <w:szCs w:val="24"/>
          <w:highlight w:val="none"/>
        </w:rPr>
      </w:pPr>
      <w:r>
        <w:rPr>
          <w:rFonts w:hint="eastAsia"/>
          <w:color w:val="auto"/>
          <w:kern w:val="0"/>
          <w:sz w:val="24"/>
          <w:szCs w:val="24"/>
          <w:highlight w:val="none"/>
        </w:rPr>
        <w:t>1.乙方向甲方用户交付货物后，甲方有权组织随机抽样，送第三方检验机构进行检验。</w:t>
      </w:r>
    </w:p>
    <w:p>
      <w:pPr>
        <w:widowControl/>
        <w:adjustRightInd w:val="0"/>
        <w:snapToGrid w:val="0"/>
        <w:spacing w:line="360" w:lineRule="auto"/>
        <w:ind w:firstLine="480" w:firstLineChars="200"/>
        <w:jc w:val="left"/>
        <w:rPr>
          <w:rFonts w:hint="eastAsia"/>
          <w:color w:val="auto"/>
          <w:kern w:val="0"/>
          <w:sz w:val="24"/>
          <w:szCs w:val="24"/>
          <w:highlight w:val="none"/>
        </w:rPr>
      </w:pPr>
      <w:r>
        <w:rPr>
          <w:rFonts w:hint="eastAsia"/>
          <w:color w:val="auto"/>
          <w:kern w:val="0"/>
          <w:sz w:val="24"/>
          <w:szCs w:val="24"/>
          <w:highlight w:val="none"/>
        </w:rPr>
        <w:t>2.如第三方检验机构出具的检验报告合格，则视为乙方交付货物通过了甲方组织的抽样送检。</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如第三方检验机构出具的检验报告不合格，则视为乙方交付货物未通过甲方组织的抽样送检。甲方用户有权要求乙方无条件更换货物，并有权要求乙方支付中标金额5%的违约金。甲方用户收到更换货物后，向乙方退还不合格产品。如货物已使用，甲方用户无需退还，也无需向乙方支付任何费用。</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3.如乙方拒不配合更换，则甲方有权与乙方解除本协议、甲方用户有权与乙方解除其签订的采购合同，乙方应向甲方用户退还全部已收款项。</w:t>
      </w:r>
      <w:r>
        <w:rPr>
          <w:rFonts w:hint="eastAsia"/>
          <w:color w:val="auto"/>
          <w:kern w:val="0"/>
          <w:sz w:val="24"/>
          <w:szCs w:val="24"/>
          <w:highlight w:val="none"/>
          <w:lang w:val="en-US" w:eastAsia="zh-CN"/>
        </w:rPr>
        <w:t>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r>
        <w:rPr>
          <w:rFonts w:hint="eastAsia"/>
          <w:color w:val="auto"/>
          <w:sz w:val="24"/>
          <w:szCs w:val="24"/>
          <w:highlight w:val="none"/>
        </w:rPr>
        <w:t>甲方及用户</w:t>
      </w:r>
      <w:r>
        <w:rPr>
          <w:rFonts w:hint="eastAsia"/>
          <w:color w:val="auto"/>
          <w:kern w:val="0"/>
          <w:sz w:val="24"/>
          <w:szCs w:val="24"/>
          <w:highlight w:val="none"/>
        </w:rPr>
        <w:t>有权向市场监督管理等行政部门反映，由相关部门对其违法行为进行查处。</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4.甲方用户如涉及更换不合格产品事宜的，其收到全部通过甲方组织的抽样送检的货物之日视为乙方履行交货义务之日，如该日期晚于双方约定的交货日期，乙方应按与甲方用户签订的采购合同约定，承担相应违约责任。</w:t>
      </w:r>
    </w:p>
    <w:p>
      <w:pPr>
        <w:widowControl/>
        <w:adjustRightInd w:val="0"/>
        <w:snapToGrid w:val="0"/>
        <w:spacing w:line="360" w:lineRule="auto"/>
        <w:ind w:firstLine="482" w:firstLineChars="200"/>
        <w:jc w:val="left"/>
        <w:rPr>
          <w:b/>
          <w:color w:val="auto"/>
          <w:kern w:val="0"/>
          <w:sz w:val="24"/>
          <w:szCs w:val="24"/>
          <w:highlight w:val="none"/>
        </w:rPr>
      </w:pPr>
      <w:r>
        <w:rPr>
          <w:rFonts w:hint="eastAsia"/>
          <w:b/>
          <w:color w:val="auto"/>
          <w:kern w:val="0"/>
          <w:sz w:val="24"/>
          <w:szCs w:val="24"/>
          <w:highlight w:val="none"/>
        </w:rPr>
        <w:t>八</w:t>
      </w:r>
      <w:r>
        <w:rPr>
          <w:b/>
          <w:color w:val="auto"/>
          <w:kern w:val="0"/>
          <w:sz w:val="24"/>
          <w:szCs w:val="24"/>
          <w:highlight w:val="none"/>
        </w:rPr>
        <w:t>、违约责任</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1.如甲方或甲方用户发现乙方提供的某一货物质量不符合合同约定，则视为该批次乙方提供给</w:t>
      </w:r>
      <w:r>
        <w:rPr>
          <w:rFonts w:hint="eastAsia"/>
          <w:color w:val="auto"/>
          <w:kern w:val="0"/>
          <w:sz w:val="24"/>
          <w:szCs w:val="24"/>
          <w:highlight w:val="none"/>
        </w:rPr>
        <w:t>全部用户</w:t>
      </w:r>
      <w:r>
        <w:rPr>
          <w:color w:val="auto"/>
          <w:kern w:val="0"/>
          <w:sz w:val="24"/>
          <w:szCs w:val="24"/>
          <w:highlight w:val="none"/>
        </w:rPr>
        <w:t>的同类货物质量均不符合合同约定，乙方应按照与甲方</w:t>
      </w:r>
      <w:r>
        <w:rPr>
          <w:rFonts w:hint="eastAsia"/>
          <w:color w:val="auto"/>
          <w:kern w:val="0"/>
          <w:sz w:val="24"/>
          <w:szCs w:val="24"/>
          <w:highlight w:val="none"/>
        </w:rPr>
        <w:t>全部用户</w:t>
      </w:r>
      <w:r>
        <w:rPr>
          <w:color w:val="auto"/>
          <w:kern w:val="0"/>
          <w:sz w:val="24"/>
          <w:szCs w:val="24"/>
          <w:highlight w:val="none"/>
        </w:rPr>
        <w:t>签订的采购合同</w:t>
      </w:r>
      <w:r>
        <w:rPr>
          <w:rFonts w:hint="eastAsia"/>
          <w:color w:val="auto"/>
          <w:kern w:val="0"/>
          <w:sz w:val="24"/>
          <w:szCs w:val="24"/>
          <w:highlight w:val="none"/>
        </w:rPr>
        <w:t>金额</w:t>
      </w:r>
      <w:r>
        <w:rPr>
          <w:color w:val="auto"/>
          <w:kern w:val="0"/>
          <w:sz w:val="24"/>
          <w:szCs w:val="24"/>
          <w:highlight w:val="none"/>
        </w:rPr>
        <w:t>的约定承担违约责任。</w:t>
      </w:r>
    </w:p>
    <w:p>
      <w:pPr>
        <w:adjustRightInd w:val="0"/>
        <w:snapToGrid w:val="0"/>
        <w:spacing w:line="360" w:lineRule="auto"/>
        <w:ind w:firstLine="480" w:firstLineChars="200"/>
        <w:rPr>
          <w:color w:val="auto"/>
          <w:kern w:val="0"/>
          <w:sz w:val="24"/>
          <w:szCs w:val="24"/>
          <w:highlight w:val="none"/>
        </w:rPr>
      </w:pPr>
      <w:r>
        <w:rPr>
          <w:color w:val="auto"/>
          <w:kern w:val="0"/>
          <w:sz w:val="24"/>
          <w:szCs w:val="24"/>
          <w:highlight w:val="none"/>
        </w:rPr>
        <w:t>2.乙方应严格按照本</w:t>
      </w:r>
      <w:r>
        <w:rPr>
          <w:rFonts w:hint="eastAsia"/>
          <w:color w:val="auto"/>
          <w:kern w:val="0"/>
          <w:sz w:val="24"/>
          <w:szCs w:val="24"/>
          <w:highlight w:val="none"/>
        </w:rPr>
        <w:t>协议</w:t>
      </w:r>
      <w:r>
        <w:rPr>
          <w:color w:val="auto"/>
          <w:kern w:val="0"/>
          <w:sz w:val="24"/>
          <w:szCs w:val="24"/>
          <w:highlight w:val="none"/>
        </w:rPr>
        <w:t>约定的期限及要求与</w:t>
      </w:r>
      <w:r>
        <w:rPr>
          <w:rFonts w:hint="eastAsia"/>
          <w:color w:val="auto"/>
          <w:kern w:val="0"/>
          <w:sz w:val="24"/>
          <w:szCs w:val="24"/>
          <w:highlight w:val="none"/>
        </w:rPr>
        <w:t>全部用户</w:t>
      </w:r>
      <w:r>
        <w:rPr>
          <w:color w:val="auto"/>
          <w:kern w:val="0"/>
          <w:sz w:val="24"/>
          <w:szCs w:val="24"/>
          <w:highlight w:val="none"/>
        </w:rPr>
        <w:t>签订采购合同，否则，甲方有权解除本协议，取消乙方的中标人资格，并全额没收乙方支付的全部履约保证金或向出具独立保函的金融机构按保函金额上限主张全额索赔。</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3.本协议内容以及乙方因签订、履行本协议所获悉的甲方、甲方用户及下属单位的相关信息，资料均属于保密范围，未经甲方书面同意，无论任何时间，乙方不得将保密内容泄露给任何第三方或用于本协议以外的用途；否则，甲方有权解除本协议、要求乙方支付中标金额5%的违约金；甲方用户亦有权解除与乙方签订的采购合同，并要求乙方返还已收取的全部款项，并要求乙方支付采购合同总金额20%的违约金。</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4.如乙方存在分包、转包行为或未在向甲方提交的生产厂家或货物生产地址生产货物的，甲方有权解除本协议并要求乙方支付中标金额5%的违约金，并且甲方有权向有管辖权的行政机关反映，由有管辖权的行政机关予以处理。各用户亦有权解除与乙方签订的采购合同并有权要求乙方退还已收全部合同价款。</w:t>
      </w:r>
    </w:p>
    <w:p>
      <w:pPr>
        <w:widowControl/>
        <w:adjustRightInd w:val="0"/>
        <w:snapToGrid w:val="0"/>
        <w:spacing w:line="360" w:lineRule="auto"/>
        <w:ind w:firstLine="480" w:firstLineChars="200"/>
        <w:jc w:val="left"/>
        <w:rPr>
          <w:rFonts w:hint="eastAsia"/>
          <w:color w:val="auto"/>
          <w:kern w:val="0"/>
          <w:sz w:val="24"/>
          <w:szCs w:val="24"/>
          <w:highlight w:val="none"/>
        </w:rPr>
      </w:pPr>
      <w:r>
        <w:rPr>
          <w:rFonts w:hint="eastAsia"/>
          <w:color w:val="auto"/>
          <w:kern w:val="0"/>
          <w:sz w:val="24"/>
          <w:szCs w:val="24"/>
          <w:highlight w:val="none"/>
        </w:rPr>
        <w:t>5.对乙方在与甲方用户签订的合同履行过程中的违约行为（包括但不限于误期赔偿费、产品质量责任等），甲方有权直接要求乙方向甲方承担违约责任。</w:t>
      </w:r>
    </w:p>
    <w:p>
      <w:pPr>
        <w:widowControl/>
        <w:adjustRightInd w:val="0"/>
        <w:snapToGrid w:val="0"/>
        <w:spacing w:line="360" w:lineRule="auto"/>
        <w:ind w:firstLine="480" w:firstLineChars="200"/>
        <w:jc w:val="left"/>
        <w:rPr>
          <w:rFonts w:hint="eastAsia"/>
          <w:color w:val="auto"/>
          <w:kern w:val="0"/>
          <w:sz w:val="24"/>
          <w:szCs w:val="24"/>
          <w:highlight w:val="none"/>
          <w:lang w:val="en-US" w:eastAsia="zh-CN"/>
        </w:rPr>
      </w:pPr>
      <w:r>
        <w:rPr>
          <w:rFonts w:hint="eastAsia"/>
          <w:color w:val="auto"/>
          <w:kern w:val="0"/>
          <w:sz w:val="24"/>
          <w:szCs w:val="24"/>
          <w:highlight w:val="none"/>
          <w:lang w:val="en-US" w:eastAsia="zh-CN"/>
        </w:rPr>
        <w:t>6.违约方须向守约方承担维权所发生的费用，包括但不限于公证费、检测费、律师费、诉讼费、保全担保费等费用。</w:t>
      </w:r>
    </w:p>
    <w:p>
      <w:pPr>
        <w:widowControl/>
        <w:adjustRightInd w:val="0"/>
        <w:snapToGrid w:val="0"/>
        <w:spacing w:line="360" w:lineRule="auto"/>
        <w:ind w:firstLine="480" w:firstLineChars="200"/>
        <w:jc w:val="left"/>
        <w:rPr>
          <w:rFonts w:hint="default"/>
          <w:color w:val="auto"/>
          <w:kern w:val="0"/>
          <w:sz w:val="24"/>
          <w:szCs w:val="24"/>
          <w:highlight w:val="none"/>
          <w:lang w:val="en-US"/>
        </w:rPr>
      </w:pPr>
      <w:r>
        <w:rPr>
          <w:rFonts w:hint="eastAsia"/>
          <w:color w:val="auto"/>
          <w:kern w:val="0"/>
          <w:sz w:val="24"/>
          <w:szCs w:val="24"/>
          <w:highlight w:val="none"/>
          <w:lang w:val="en-US" w:eastAsia="zh-CN"/>
        </w:rPr>
        <w:t>7.误期赔偿条款：按照甲方与乙方以及甲方用户与乙方签署的合同约定执行。</w:t>
      </w:r>
    </w:p>
    <w:p>
      <w:pPr>
        <w:widowControl/>
        <w:adjustRightInd w:val="0"/>
        <w:snapToGrid w:val="0"/>
        <w:spacing w:line="360" w:lineRule="auto"/>
        <w:ind w:firstLine="482" w:firstLineChars="200"/>
        <w:jc w:val="left"/>
        <w:rPr>
          <w:b/>
          <w:color w:val="auto"/>
          <w:kern w:val="0"/>
          <w:sz w:val="24"/>
          <w:szCs w:val="24"/>
          <w:highlight w:val="none"/>
        </w:rPr>
      </w:pPr>
      <w:r>
        <w:rPr>
          <w:rFonts w:hint="eastAsia"/>
          <w:b/>
          <w:color w:val="auto"/>
          <w:kern w:val="0"/>
          <w:sz w:val="24"/>
          <w:szCs w:val="24"/>
          <w:highlight w:val="none"/>
        </w:rPr>
        <w:t>九、质量保证期</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1.质量保证期为验收合格之日起</w:t>
      </w:r>
      <w:r>
        <w:rPr>
          <w:rFonts w:hint="eastAsia"/>
          <w:color w:val="auto"/>
          <w:kern w:val="0"/>
          <w:sz w:val="24"/>
          <w:szCs w:val="24"/>
          <w:highlight w:val="none"/>
          <w:u w:val="single"/>
        </w:rPr>
        <w:t xml:space="preserve"> </w:t>
      </w:r>
      <w:r>
        <w:rPr>
          <w:rFonts w:hint="eastAsia"/>
          <w:color w:val="auto"/>
          <w:kern w:val="0"/>
          <w:sz w:val="24"/>
          <w:szCs w:val="24"/>
          <w:highlight w:val="none"/>
          <w:u w:val="single"/>
          <w:lang w:val="en-US" w:eastAsia="zh-CN"/>
        </w:rPr>
        <w:t>1</w:t>
      </w:r>
      <w:r>
        <w:rPr>
          <w:rFonts w:hint="eastAsia"/>
          <w:color w:val="auto"/>
          <w:kern w:val="0"/>
          <w:sz w:val="24"/>
          <w:szCs w:val="24"/>
          <w:highlight w:val="none"/>
          <w:u w:val="single"/>
        </w:rPr>
        <w:t xml:space="preserve">  </w:t>
      </w:r>
      <w:r>
        <w:rPr>
          <w:rFonts w:hint="eastAsia"/>
          <w:color w:val="auto"/>
          <w:kern w:val="0"/>
          <w:sz w:val="24"/>
          <w:szCs w:val="24"/>
          <w:highlight w:val="none"/>
        </w:rPr>
        <w:t>年。</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2.本条所述质量保证期系指库存货物可以正常使用且不会因质量问题导致人身或财产损害的期限。如用户在质量保证期中发现货物无法正常使用或导致人身或财产损害，则乙方应向用户承担违约责任。</w:t>
      </w:r>
    </w:p>
    <w:p>
      <w:pPr>
        <w:widowControl/>
        <w:adjustRightInd w:val="0"/>
        <w:snapToGrid w:val="0"/>
        <w:spacing w:line="360" w:lineRule="auto"/>
        <w:ind w:firstLine="482" w:firstLineChars="200"/>
        <w:jc w:val="left"/>
        <w:rPr>
          <w:b/>
          <w:color w:val="auto"/>
          <w:kern w:val="0"/>
          <w:sz w:val="24"/>
          <w:szCs w:val="24"/>
          <w:highlight w:val="none"/>
        </w:rPr>
      </w:pPr>
      <w:r>
        <w:rPr>
          <w:rFonts w:hint="eastAsia"/>
          <w:b/>
          <w:color w:val="auto"/>
          <w:kern w:val="0"/>
          <w:sz w:val="24"/>
          <w:szCs w:val="24"/>
          <w:highlight w:val="none"/>
        </w:rPr>
        <w:t>十</w:t>
      </w:r>
      <w:r>
        <w:rPr>
          <w:b/>
          <w:color w:val="auto"/>
          <w:kern w:val="0"/>
          <w:sz w:val="24"/>
          <w:szCs w:val="24"/>
          <w:highlight w:val="none"/>
        </w:rPr>
        <w:t>、联系方式</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1.本协议甲乙双方发出与本协议有关的通知或回复，应根据相关事项的重要程度，以纸质文件、电子文件、微信短信、电话等方式发出；如果以专人送递或特快专递发送，以送达至对方的住所地或通讯联络地为送达。</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2.协议双方发出的与本协议有关的通知或回复均应发至以下通讯地址，一方变更通讯地址，应自变更之日起三个工作日内，将变更后的地址通知对方。变更方不履行通知义务的，应对此造成的一切后果承担法律责任。</w:t>
      </w:r>
    </w:p>
    <w:p>
      <w:pPr>
        <w:widowControl/>
        <w:adjustRightInd w:val="0"/>
        <w:snapToGrid w:val="0"/>
        <w:spacing w:line="360" w:lineRule="auto"/>
        <w:ind w:firstLine="480" w:firstLineChars="200"/>
        <w:jc w:val="left"/>
        <w:rPr>
          <w:rFonts w:hint="default" w:eastAsia="宋体"/>
          <w:color w:val="auto"/>
          <w:kern w:val="0"/>
          <w:sz w:val="24"/>
          <w:szCs w:val="24"/>
          <w:highlight w:val="none"/>
          <w:lang w:val="en-US" w:eastAsia="zh-CN"/>
        </w:rPr>
      </w:pPr>
      <w:r>
        <w:rPr>
          <w:rFonts w:hint="eastAsia"/>
          <w:color w:val="auto"/>
          <w:kern w:val="0"/>
          <w:sz w:val="24"/>
          <w:szCs w:val="24"/>
          <w:highlight w:val="none"/>
          <w:lang w:val="en-US" w:eastAsia="zh-CN"/>
        </w:rPr>
        <w:t>3.乙方所留地址为有效送达地址，可作为双方发送书面通知及法院送达法律文书的地址，邮寄送达时无人签收、他人代收和拒收均视为送达。</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 xml:space="preserve">甲  方： </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地  址：</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联系人：</w:t>
      </w:r>
    </w:p>
    <w:p>
      <w:pPr>
        <w:widowControl/>
        <w:adjustRightInd w:val="0"/>
        <w:snapToGrid w:val="0"/>
        <w:spacing w:line="360" w:lineRule="auto"/>
        <w:ind w:firstLine="480" w:firstLineChars="200"/>
        <w:jc w:val="left"/>
        <w:rPr>
          <w:rFonts w:ascii="Times New Roman" w:hAnsi="Times New Roman"/>
          <w:color w:val="auto"/>
          <w:kern w:val="0"/>
          <w:sz w:val="24"/>
          <w:szCs w:val="24"/>
          <w:highlight w:val="none"/>
        </w:rPr>
      </w:pPr>
      <w:r>
        <w:rPr>
          <w:rFonts w:ascii="Times New Roman" w:hAnsi="Times New Roman"/>
          <w:color w:val="auto"/>
          <w:kern w:val="0"/>
          <w:sz w:val="24"/>
          <w:szCs w:val="24"/>
          <w:highlight w:val="none"/>
        </w:rPr>
        <w:t>甲方座机：</w:t>
      </w:r>
    </w:p>
    <w:p>
      <w:pPr>
        <w:widowControl/>
        <w:adjustRightInd w:val="0"/>
        <w:snapToGrid w:val="0"/>
        <w:spacing w:line="360" w:lineRule="auto"/>
        <w:ind w:firstLine="480" w:firstLineChars="200"/>
        <w:jc w:val="left"/>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联系人电话：</w:t>
      </w:r>
    </w:p>
    <w:p>
      <w:pPr>
        <w:widowControl/>
        <w:adjustRightInd w:val="0"/>
        <w:snapToGrid w:val="0"/>
        <w:spacing w:line="360" w:lineRule="auto"/>
        <w:ind w:firstLine="480" w:firstLineChars="200"/>
        <w:jc w:val="left"/>
        <w:rPr>
          <w:color w:val="auto"/>
          <w:kern w:val="0"/>
          <w:sz w:val="24"/>
          <w:szCs w:val="24"/>
          <w:highlight w:val="none"/>
        </w:rPr>
      </w:pPr>
      <w:r>
        <w:rPr>
          <w:rFonts w:ascii="Times New Roman" w:hAnsi="Times New Roman"/>
          <w:color w:val="auto"/>
          <w:kern w:val="0"/>
          <w:sz w:val="24"/>
          <w:szCs w:val="24"/>
          <w:highlight w:val="none"/>
        </w:rPr>
        <w:t>业务邮箱：</w:t>
      </w:r>
      <w:r>
        <w:rPr>
          <w:color w:val="auto"/>
          <w:kern w:val="0"/>
          <w:sz w:val="24"/>
          <w:szCs w:val="24"/>
          <w:highlight w:val="none"/>
        </w:rPr>
        <w:t xml:space="preserve"> </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乙  方：</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地址：</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联系人：</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手  机：</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业务邮箱：</w:t>
      </w:r>
    </w:p>
    <w:p>
      <w:pPr>
        <w:widowControl/>
        <w:adjustRightInd w:val="0"/>
        <w:snapToGrid w:val="0"/>
        <w:spacing w:line="360" w:lineRule="auto"/>
        <w:ind w:firstLine="482" w:firstLineChars="200"/>
        <w:jc w:val="left"/>
        <w:rPr>
          <w:b/>
          <w:color w:val="auto"/>
          <w:kern w:val="0"/>
          <w:sz w:val="24"/>
          <w:szCs w:val="24"/>
          <w:highlight w:val="none"/>
        </w:rPr>
      </w:pPr>
      <w:r>
        <w:rPr>
          <w:rFonts w:hint="eastAsia"/>
          <w:b/>
          <w:color w:val="auto"/>
          <w:kern w:val="0"/>
          <w:sz w:val="24"/>
          <w:szCs w:val="24"/>
          <w:highlight w:val="none"/>
        </w:rPr>
        <w:t>十一</w:t>
      </w:r>
      <w:r>
        <w:rPr>
          <w:b/>
          <w:color w:val="auto"/>
          <w:kern w:val="0"/>
          <w:sz w:val="24"/>
          <w:szCs w:val="24"/>
          <w:highlight w:val="none"/>
        </w:rPr>
        <w:t>、管辖</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双方应通过友好协商解决因解释﹑执行本协议所发生的和本协议有关的一切争议。双方不能通过友好协商解决的，任何一方可向甲方所在地的人民法院起诉。</w:t>
      </w:r>
    </w:p>
    <w:p>
      <w:pPr>
        <w:widowControl/>
        <w:adjustRightInd w:val="0"/>
        <w:snapToGrid w:val="0"/>
        <w:spacing w:line="360" w:lineRule="auto"/>
        <w:ind w:firstLine="482" w:firstLineChars="200"/>
        <w:jc w:val="left"/>
        <w:rPr>
          <w:b/>
          <w:color w:val="auto"/>
          <w:kern w:val="0"/>
          <w:sz w:val="24"/>
          <w:szCs w:val="24"/>
          <w:highlight w:val="none"/>
        </w:rPr>
      </w:pPr>
      <w:r>
        <w:rPr>
          <w:rFonts w:hint="eastAsia"/>
          <w:b/>
          <w:color w:val="auto"/>
          <w:kern w:val="0"/>
          <w:sz w:val="24"/>
          <w:szCs w:val="24"/>
          <w:highlight w:val="none"/>
        </w:rPr>
        <w:t>十二</w:t>
      </w:r>
      <w:r>
        <w:rPr>
          <w:b/>
          <w:color w:val="auto"/>
          <w:kern w:val="0"/>
          <w:sz w:val="24"/>
          <w:szCs w:val="24"/>
          <w:highlight w:val="none"/>
        </w:rPr>
        <w:t>、协议的生效</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本协议一式</w:t>
      </w:r>
      <w:r>
        <w:rPr>
          <w:rFonts w:hint="eastAsia"/>
          <w:color w:val="auto"/>
          <w:kern w:val="0"/>
          <w:sz w:val="24"/>
          <w:szCs w:val="24"/>
          <w:highlight w:val="none"/>
        </w:rPr>
        <w:t>四</w:t>
      </w:r>
      <w:r>
        <w:rPr>
          <w:color w:val="auto"/>
          <w:kern w:val="0"/>
          <w:sz w:val="24"/>
          <w:szCs w:val="24"/>
          <w:highlight w:val="none"/>
        </w:rPr>
        <w:t>份，甲乙双方各执两份，具有同等法律效力。经双方法人或授权代表签字盖章后生效。</w:t>
      </w:r>
    </w:p>
    <w:p>
      <w:pPr>
        <w:widowControl/>
        <w:numPr>
          <w:ilvl w:val="0"/>
          <w:numId w:val="4"/>
        </w:numPr>
        <w:adjustRightInd w:val="0"/>
        <w:snapToGrid w:val="0"/>
        <w:spacing w:line="360" w:lineRule="auto"/>
        <w:ind w:firstLine="482" w:firstLineChars="200"/>
        <w:jc w:val="left"/>
        <w:rPr>
          <w:b/>
          <w:color w:val="auto"/>
          <w:kern w:val="0"/>
          <w:sz w:val="24"/>
          <w:szCs w:val="24"/>
          <w:highlight w:val="none"/>
        </w:rPr>
      </w:pPr>
      <w:r>
        <w:rPr>
          <w:rFonts w:hint="eastAsia"/>
          <w:b/>
          <w:color w:val="auto"/>
          <w:kern w:val="0"/>
          <w:sz w:val="24"/>
          <w:szCs w:val="24"/>
          <w:highlight w:val="none"/>
        </w:rPr>
        <w:t>协议的解释</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本协议及相关文件的解释顺序：一是其他甲乙双方签署的补充协议；二是本协议书及其附件；三是中标通知书；四是乙方符合招标文件要求的相应投标文件及附录；五是技术标准和标样；六是招标文件。</w:t>
      </w:r>
    </w:p>
    <w:p>
      <w:pPr>
        <w:widowControl/>
        <w:adjustRightInd w:val="0"/>
        <w:snapToGrid w:val="0"/>
        <w:spacing w:line="360" w:lineRule="auto"/>
        <w:ind w:firstLine="482" w:firstLineChars="200"/>
        <w:jc w:val="left"/>
        <w:rPr>
          <w:b/>
          <w:color w:val="auto"/>
          <w:kern w:val="0"/>
          <w:sz w:val="24"/>
          <w:szCs w:val="24"/>
          <w:highlight w:val="none"/>
        </w:rPr>
      </w:pPr>
      <w:r>
        <w:rPr>
          <w:b/>
          <w:color w:val="auto"/>
          <w:kern w:val="0"/>
          <w:sz w:val="24"/>
          <w:szCs w:val="24"/>
          <w:highlight w:val="none"/>
        </w:rPr>
        <w:t>十</w:t>
      </w:r>
      <w:r>
        <w:rPr>
          <w:rFonts w:hint="eastAsia"/>
          <w:b/>
          <w:color w:val="auto"/>
          <w:kern w:val="0"/>
          <w:sz w:val="24"/>
          <w:szCs w:val="24"/>
          <w:highlight w:val="none"/>
        </w:rPr>
        <w:t>四</w:t>
      </w:r>
      <w:r>
        <w:rPr>
          <w:b/>
          <w:color w:val="auto"/>
          <w:kern w:val="0"/>
          <w:sz w:val="24"/>
          <w:szCs w:val="24"/>
          <w:highlight w:val="none"/>
        </w:rPr>
        <w:t>、协议附件</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乙方清晰地知晓，本协议项下附件对乙方与甲方、甲方下属消防救援</w:t>
      </w:r>
      <w:r>
        <w:rPr>
          <w:rFonts w:hint="eastAsia"/>
          <w:color w:val="auto"/>
          <w:kern w:val="0"/>
          <w:sz w:val="24"/>
          <w:szCs w:val="24"/>
          <w:highlight w:val="none"/>
        </w:rPr>
        <w:t>支</w:t>
      </w:r>
      <w:r>
        <w:rPr>
          <w:color w:val="auto"/>
          <w:kern w:val="0"/>
          <w:sz w:val="24"/>
          <w:szCs w:val="24"/>
          <w:highlight w:val="none"/>
        </w:rPr>
        <w:t>队之间的合同法律关系均产生约束力，本协议附件为：</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附件一：</w:t>
      </w:r>
      <w:r>
        <w:rPr>
          <w:rFonts w:hint="eastAsia"/>
          <w:bCs/>
          <w:color w:val="auto"/>
          <w:sz w:val="24"/>
          <w:szCs w:val="24"/>
          <w:highlight w:val="none"/>
        </w:rPr>
        <w:t>廉洁协议书</w:t>
      </w:r>
    </w:p>
    <w:p>
      <w:pPr>
        <w:widowControl/>
        <w:adjustRightInd w:val="0"/>
        <w:snapToGrid w:val="0"/>
        <w:spacing w:line="360" w:lineRule="auto"/>
        <w:ind w:firstLine="480" w:firstLineChars="200"/>
        <w:jc w:val="left"/>
        <w:rPr>
          <w:bCs/>
          <w:color w:val="auto"/>
          <w:sz w:val="24"/>
          <w:szCs w:val="24"/>
          <w:highlight w:val="none"/>
        </w:rPr>
      </w:pPr>
      <w:r>
        <w:rPr>
          <w:color w:val="auto"/>
          <w:kern w:val="0"/>
          <w:sz w:val="24"/>
          <w:szCs w:val="24"/>
          <w:highlight w:val="none"/>
        </w:rPr>
        <w:t>附件二：</w:t>
      </w:r>
      <w:r>
        <w:rPr>
          <w:bCs/>
          <w:color w:val="auto"/>
          <w:sz w:val="24"/>
          <w:szCs w:val="24"/>
          <w:highlight w:val="none"/>
        </w:rPr>
        <w:t>消防</w:t>
      </w:r>
      <w:r>
        <w:rPr>
          <w:rFonts w:hint="eastAsia"/>
          <w:bCs/>
          <w:color w:val="auto"/>
          <w:sz w:val="24"/>
          <w:szCs w:val="24"/>
          <w:highlight w:val="none"/>
        </w:rPr>
        <w:t>产</w:t>
      </w:r>
      <w:r>
        <w:rPr>
          <w:bCs/>
          <w:color w:val="auto"/>
          <w:sz w:val="24"/>
          <w:szCs w:val="24"/>
          <w:highlight w:val="none"/>
        </w:rPr>
        <w:t>品</w:t>
      </w:r>
      <w:r>
        <w:rPr>
          <w:rFonts w:hint="eastAsia"/>
          <w:bCs/>
          <w:color w:val="auto"/>
          <w:sz w:val="24"/>
          <w:szCs w:val="24"/>
          <w:highlight w:val="none"/>
        </w:rPr>
        <w:t>型号</w:t>
      </w:r>
      <w:r>
        <w:rPr>
          <w:bCs/>
          <w:color w:val="auto"/>
          <w:sz w:val="24"/>
          <w:szCs w:val="24"/>
          <w:highlight w:val="none"/>
        </w:rPr>
        <w:t>数量供应需求表</w:t>
      </w:r>
    </w:p>
    <w:p>
      <w:pPr>
        <w:widowControl/>
        <w:adjustRightInd w:val="0"/>
        <w:snapToGrid w:val="0"/>
        <w:spacing w:line="360" w:lineRule="auto"/>
        <w:ind w:firstLine="480" w:firstLineChars="200"/>
        <w:jc w:val="left"/>
        <w:rPr>
          <w:b/>
          <w:bCs/>
          <w:color w:val="auto"/>
          <w:kern w:val="0"/>
          <w:sz w:val="24"/>
          <w:szCs w:val="24"/>
          <w:highlight w:val="none"/>
        </w:rPr>
      </w:pPr>
      <w:r>
        <w:rPr>
          <w:rFonts w:hint="eastAsia"/>
          <w:bCs/>
          <w:color w:val="auto"/>
          <w:sz w:val="24"/>
          <w:szCs w:val="24"/>
          <w:highlight w:val="none"/>
        </w:rPr>
        <w:t>附件三：发货清单</w:t>
      </w:r>
    </w:p>
    <w:tbl>
      <w:tblPr>
        <w:tblStyle w:val="24"/>
        <w:tblW w:w="8522" w:type="dxa"/>
        <w:jc w:val="center"/>
        <w:tblLayout w:type="fixed"/>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color w:val="auto"/>
                <w:sz w:val="24"/>
                <w:szCs w:val="24"/>
                <w:highlight w:val="none"/>
              </w:rPr>
            </w:pPr>
            <w:r>
              <w:rPr>
                <w:color w:val="auto"/>
                <w:kern w:val="0"/>
                <w:sz w:val="24"/>
                <w:szCs w:val="24"/>
                <w:highlight w:val="none"/>
              </w:rPr>
              <w:t>甲方：</w:t>
            </w:r>
          </w:p>
        </w:tc>
        <w:tc>
          <w:tcPr>
            <w:tcW w:w="4261" w:type="dxa"/>
            <w:vAlign w:val="center"/>
          </w:tcPr>
          <w:p>
            <w:pPr>
              <w:spacing w:line="360" w:lineRule="auto"/>
              <w:ind w:firstLine="240" w:firstLineChars="100"/>
              <w:rPr>
                <w:color w:val="auto"/>
                <w:sz w:val="24"/>
                <w:szCs w:val="24"/>
                <w:highlight w:val="none"/>
              </w:rPr>
            </w:pPr>
            <w:r>
              <w:rPr>
                <w:color w:val="auto"/>
                <w:kern w:val="0"/>
                <w:sz w:val="24"/>
                <w:szCs w:val="24"/>
                <w:highlight w:val="none"/>
              </w:rPr>
              <w:t>乙方：</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color w:val="auto"/>
                <w:sz w:val="24"/>
                <w:szCs w:val="24"/>
                <w:highlight w:val="none"/>
              </w:rPr>
            </w:pPr>
            <w:r>
              <w:rPr>
                <w:color w:val="auto"/>
                <w:sz w:val="24"/>
                <w:szCs w:val="24"/>
                <w:highlight w:val="none"/>
              </w:rPr>
              <w:t>授权代表：</w:t>
            </w:r>
          </w:p>
        </w:tc>
        <w:tc>
          <w:tcPr>
            <w:tcW w:w="4261" w:type="dxa"/>
            <w:vAlign w:val="center"/>
          </w:tcPr>
          <w:p>
            <w:pPr>
              <w:spacing w:line="360" w:lineRule="auto"/>
              <w:ind w:firstLine="240" w:firstLineChars="100"/>
              <w:rPr>
                <w:color w:val="auto"/>
                <w:sz w:val="24"/>
                <w:szCs w:val="24"/>
                <w:highlight w:val="none"/>
              </w:rPr>
            </w:pPr>
            <w:r>
              <w:rPr>
                <w:color w:val="auto"/>
                <w:kern w:val="0"/>
                <w:sz w:val="24"/>
                <w:szCs w:val="24"/>
                <w:highlight w:val="none"/>
              </w:rPr>
              <w:t>授权代表：</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color w:val="auto"/>
                <w:sz w:val="24"/>
                <w:szCs w:val="24"/>
                <w:highlight w:val="none"/>
              </w:rPr>
            </w:pPr>
            <w:r>
              <w:rPr>
                <w:color w:val="auto"/>
                <w:kern w:val="0"/>
                <w:sz w:val="24"/>
                <w:szCs w:val="24"/>
                <w:highlight w:val="none"/>
              </w:rPr>
              <w:t>日期：</w:t>
            </w:r>
            <w:r>
              <w:rPr>
                <w:rFonts w:hint="eastAsia"/>
                <w:color w:val="auto"/>
                <w:kern w:val="0"/>
                <w:sz w:val="24"/>
                <w:szCs w:val="24"/>
                <w:highlight w:val="none"/>
              </w:rPr>
              <w:t xml:space="preserve">   年    月    日</w:t>
            </w:r>
          </w:p>
        </w:tc>
        <w:tc>
          <w:tcPr>
            <w:tcW w:w="4261" w:type="dxa"/>
            <w:vAlign w:val="center"/>
          </w:tcPr>
          <w:p>
            <w:pPr>
              <w:spacing w:line="360" w:lineRule="auto"/>
              <w:ind w:firstLine="240" w:firstLineChars="100"/>
              <w:rPr>
                <w:color w:val="auto"/>
                <w:sz w:val="24"/>
                <w:szCs w:val="24"/>
                <w:highlight w:val="none"/>
              </w:rPr>
            </w:pPr>
            <w:r>
              <w:rPr>
                <w:color w:val="auto"/>
                <w:kern w:val="0"/>
                <w:sz w:val="24"/>
                <w:szCs w:val="24"/>
                <w:highlight w:val="none"/>
              </w:rPr>
              <w:t>日期：</w:t>
            </w:r>
            <w:r>
              <w:rPr>
                <w:rFonts w:hint="eastAsia"/>
                <w:color w:val="auto"/>
                <w:kern w:val="0"/>
                <w:sz w:val="24"/>
                <w:szCs w:val="24"/>
                <w:highlight w:val="none"/>
              </w:rPr>
              <w:t xml:space="preserve">   年    月    日</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color w:val="auto"/>
                <w:sz w:val="24"/>
                <w:szCs w:val="24"/>
                <w:highlight w:val="none"/>
              </w:rPr>
            </w:pPr>
            <w:r>
              <w:rPr>
                <w:color w:val="auto"/>
                <w:kern w:val="0"/>
                <w:sz w:val="24"/>
                <w:szCs w:val="24"/>
                <w:highlight w:val="none"/>
              </w:rPr>
              <w:t>业务人员：</w:t>
            </w:r>
          </w:p>
        </w:tc>
        <w:tc>
          <w:tcPr>
            <w:tcW w:w="4261" w:type="dxa"/>
            <w:vAlign w:val="center"/>
          </w:tcPr>
          <w:p>
            <w:pPr>
              <w:spacing w:line="360" w:lineRule="auto"/>
              <w:ind w:firstLine="240" w:firstLineChars="100"/>
              <w:rPr>
                <w:color w:val="auto"/>
                <w:sz w:val="24"/>
                <w:szCs w:val="24"/>
                <w:highlight w:val="none"/>
              </w:rPr>
            </w:pPr>
            <w:r>
              <w:rPr>
                <w:color w:val="auto"/>
                <w:kern w:val="0"/>
                <w:sz w:val="24"/>
                <w:szCs w:val="24"/>
                <w:highlight w:val="none"/>
              </w:rPr>
              <w:t xml:space="preserve">业务人员： </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color w:val="auto"/>
                <w:sz w:val="24"/>
                <w:szCs w:val="24"/>
                <w:highlight w:val="none"/>
              </w:rPr>
            </w:pPr>
            <w:r>
              <w:rPr>
                <w:color w:val="auto"/>
                <w:kern w:val="0"/>
                <w:sz w:val="24"/>
                <w:szCs w:val="24"/>
                <w:highlight w:val="none"/>
              </w:rPr>
              <w:t>手机号码：</w:t>
            </w:r>
          </w:p>
        </w:tc>
        <w:tc>
          <w:tcPr>
            <w:tcW w:w="4261" w:type="dxa"/>
            <w:vAlign w:val="center"/>
          </w:tcPr>
          <w:p>
            <w:pPr>
              <w:spacing w:line="360" w:lineRule="auto"/>
              <w:ind w:firstLine="240" w:firstLineChars="100"/>
              <w:rPr>
                <w:color w:val="auto"/>
                <w:sz w:val="24"/>
                <w:szCs w:val="24"/>
                <w:highlight w:val="none"/>
              </w:rPr>
            </w:pPr>
            <w:r>
              <w:rPr>
                <w:color w:val="auto"/>
                <w:kern w:val="0"/>
                <w:sz w:val="24"/>
                <w:szCs w:val="24"/>
                <w:highlight w:val="none"/>
              </w:rPr>
              <w:t xml:space="preserve">手机号码： </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color w:val="auto"/>
                <w:sz w:val="24"/>
                <w:szCs w:val="24"/>
                <w:highlight w:val="none"/>
              </w:rPr>
            </w:pPr>
            <w:r>
              <w:rPr>
                <w:color w:val="auto"/>
                <w:kern w:val="0"/>
                <w:sz w:val="24"/>
                <w:szCs w:val="24"/>
                <w:highlight w:val="none"/>
              </w:rPr>
              <w:t>开户银行名称：</w:t>
            </w:r>
          </w:p>
        </w:tc>
        <w:tc>
          <w:tcPr>
            <w:tcW w:w="4261" w:type="dxa"/>
          </w:tcPr>
          <w:p>
            <w:pPr>
              <w:spacing w:line="360" w:lineRule="auto"/>
              <w:ind w:firstLine="240" w:firstLineChars="100"/>
              <w:jc w:val="left"/>
              <w:rPr>
                <w:color w:val="auto"/>
                <w:kern w:val="0"/>
                <w:sz w:val="24"/>
                <w:szCs w:val="24"/>
                <w:highlight w:val="none"/>
              </w:rPr>
            </w:pPr>
            <w:r>
              <w:rPr>
                <w:color w:val="auto"/>
                <w:kern w:val="0"/>
                <w:sz w:val="24"/>
                <w:szCs w:val="24"/>
                <w:highlight w:val="none"/>
              </w:rPr>
              <w:t>开户银行名称：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color w:val="auto"/>
                <w:kern w:val="0"/>
                <w:sz w:val="24"/>
                <w:szCs w:val="24"/>
                <w:highlight w:val="none"/>
              </w:rPr>
            </w:pPr>
            <w:r>
              <w:rPr>
                <w:color w:val="auto"/>
                <w:kern w:val="0"/>
                <w:sz w:val="24"/>
                <w:szCs w:val="24"/>
                <w:highlight w:val="none"/>
              </w:rPr>
              <w:t>开户名称：</w:t>
            </w:r>
          </w:p>
        </w:tc>
        <w:tc>
          <w:tcPr>
            <w:tcW w:w="4261" w:type="dxa"/>
            <w:vAlign w:val="center"/>
          </w:tcPr>
          <w:p>
            <w:pPr>
              <w:spacing w:line="360" w:lineRule="auto"/>
              <w:ind w:firstLine="240" w:firstLineChars="100"/>
              <w:rPr>
                <w:color w:val="auto"/>
                <w:kern w:val="0"/>
                <w:sz w:val="24"/>
                <w:szCs w:val="24"/>
                <w:highlight w:val="none"/>
              </w:rPr>
            </w:pPr>
            <w:r>
              <w:rPr>
                <w:color w:val="auto"/>
                <w:kern w:val="0"/>
                <w:sz w:val="24"/>
                <w:szCs w:val="24"/>
                <w:highlight w:val="none"/>
              </w:rPr>
              <w:t>开户名称：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color w:val="auto"/>
                <w:kern w:val="0"/>
                <w:sz w:val="24"/>
                <w:szCs w:val="24"/>
                <w:highlight w:val="none"/>
              </w:rPr>
            </w:pPr>
            <w:r>
              <w:rPr>
                <w:rFonts w:hint="eastAsia"/>
                <w:color w:val="auto"/>
                <w:kern w:val="0"/>
                <w:sz w:val="24"/>
                <w:szCs w:val="24"/>
                <w:highlight w:val="none"/>
              </w:rPr>
              <w:t>银行账号：</w:t>
            </w:r>
          </w:p>
        </w:tc>
        <w:tc>
          <w:tcPr>
            <w:tcW w:w="4261" w:type="dxa"/>
            <w:vAlign w:val="center"/>
          </w:tcPr>
          <w:p>
            <w:pPr>
              <w:spacing w:line="360" w:lineRule="auto"/>
              <w:ind w:firstLine="240" w:firstLineChars="100"/>
              <w:rPr>
                <w:color w:val="auto"/>
                <w:sz w:val="24"/>
                <w:szCs w:val="24"/>
                <w:highlight w:val="none"/>
              </w:rPr>
            </w:pPr>
            <w:r>
              <w:rPr>
                <w:color w:val="auto"/>
                <w:kern w:val="0"/>
                <w:sz w:val="24"/>
                <w:szCs w:val="24"/>
                <w:highlight w:val="none"/>
              </w:rPr>
              <w:t>银行账号：</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color w:val="auto"/>
                <w:kern w:val="0"/>
                <w:sz w:val="24"/>
                <w:szCs w:val="24"/>
                <w:highlight w:val="none"/>
              </w:rPr>
            </w:pPr>
            <w:r>
              <w:rPr>
                <w:color w:val="auto"/>
                <w:kern w:val="0"/>
                <w:sz w:val="24"/>
                <w:szCs w:val="24"/>
                <w:highlight w:val="none"/>
              </w:rPr>
              <w:t xml:space="preserve">单位地址： </w:t>
            </w:r>
          </w:p>
        </w:tc>
        <w:tc>
          <w:tcPr>
            <w:tcW w:w="4261" w:type="dxa"/>
          </w:tcPr>
          <w:p>
            <w:pPr>
              <w:spacing w:line="360" w:lineRule="auto"/>
              <w:ind w:firstLine="240" w:firstLineChars="100"/>
              <w:rPr>
                <w:color w:val="auto"/>
                <w:sz w:val="24"/>
                <w:szCs w:val="24"/>
                <w:highlight w:val="none"/>
              </w:rPr>
            </w:pPr>
            <w:r>
              <w:rPr>
                <w:color w:val="auto"/>
                <w:kern w:val="0"/>
                <w:sz w:val="24"/>
                <w:szCs w:val="24"/>
                <w:highlight w:val="none"/>
              </w:rPr>
              <w:t>单位地址：</w:t>
            </w:r>
          </w:p>
        </w:tc>
      </w:tr>
    </w:tbl>
    <w:p>
      <w:pPr>
        <w:rPr>
          <w:rFonts w:ascii="Times New Roman" w:hAnsi="Times New Roman"/>
          <w:color w:val="auto"/>
          <w:kern w:val="0"/>
          <w:sz w:val="28"/>
          <w:szCs w:val="28"/>
          <w:highlight w:val="none"/>
        </w:rPr>
      </w:pPr>
      <w:r>
        <w:rPr>
          <w:rFonts w:ascii="Times New Roman" w:hAnsi="Times New Roman"/>
          <w:color w:val="auto"/>
          <w:kern w:val="0"/>
          <w:sz w:val="28"/>
          <w:szCs w:val="28"/>
          <w:highlight w:val="none"/>
        </w:rPr>
        <w:br w:type="page"/>
      </w:r>
    </w:p>
    <w:p>
      <w:pPr>
        <w:pStyle w:val="20"/>
        <w:spacing w:before="0" w:after="0"/>
        <w:jc w:val="left"/>
        <w:rPr>
          <w:rFonts w:ascii="Times New Roman" w:hAnsi="Times New Roman"/>
          <w:b w:val="0"/>
          <w:color w:val="auto"/>
          <w:kern w:val="0"/>
          <w:sz w:val="28"/>
          <w:szCs w:val="28"/>
          <w:highlight w:val="none"/>
        </w:rPr>
      </w:pPr>
      <w:bookmarkStart w:id="67" w:name="_Toc24374"/>
      <w:bookmarkStart w:id="68" w:name="_Toc6135"/>
      <w:r>
        <w:rPr>
          <w:rFonts w:ascii="Times New Roman" w:hAnsi="Times New Roman"/>
          <w:b w:val="0"/>
          <w:color w:val="auto"/>
          <w:kern w:val="0"/>
          <w:sz w:val="28"/>
          <w:szCs w:val="28"/>
          <w:highlight w:val="none"/>
        </w:rPr>
        <w:t>附件一</w:t>
      </w:r>
      <w:bookmarkEnd w:id="67"/>
      <w:bookmarkEnd w:id="68"/>
    </w:p>
    <w:p>
      <w:pPr>
        <w:pStyle w:val="7"/>
        <w:adjustRightInd w:val="0"/>
        <w:snapToGrid w:val="0"/>
        <w:ind w:firstLine="0" w:firstLineChars="0"/>
        <w:jc w:val="center"/>
        <w:rPr>
          <w:b/>
          <w:bCs/>
          <w:color w:val="auto"/>
          <w:kern w:val="0"/>
          <w:sz w:val="32"/>
          <w:szCs w:val="32"/>
          <w:highlight w:val="none"/>
        </w:rPr>
      </w:pPr>
      <w:r>
        <w:rPr>
          <w:b/>
          <w:bCs/>
          <w:color w:val="auto"/>
          <w:kern w:val="0"/>
          <w:sz w:val="32"/>
          <w:szCs w:val="32"/>
          <w:highlight w:val="none"/>
        </w:rPr>
        <w:t>廉洁协议书</w:t>
      </w:r>
    </w:p>
    <w:p>
      <w:pPr>
        <w:pStyle w:val="7"/>
        <w:adjustRightInd w:val="0"/>
        <w:snapToGrid w:val="0"/>
        <w:ind w:left="4843" w:hanging="4843" w:hangingChars="2018"/>
        <w:rPr>
          <w:color w:val="auto"/>
          <w:sz w:val="24"/>
          <w:highlight w:val="none"/>
        </w:rPr>
      </w:pPr>
    </w:p>
    <w:p>
      <w:pPr>
        <w:pStyle w:val="7"/>
        <w:adjustRightInd w:val="0"/>
        <w:snapToGrid w:val="0"/>
        <w:spacing w:line="360" w:lineRule="auto"/>
        <w:rPr>
          <w:color w:val="auto"/>
          <w:sz w:val="24"/>
          <w:szCs w:val="24"/>
          <w:highlight w:val="none"/>
        </w:rPr>
      </w:pPr>
      <w:r>
        <w:rPr>
          <w:color w:val="auto"/>
          <w:sz w:val="24"/>
          <w:szCs w:val="24"/>
          <w:highlight w:val="none"/>
        </w:rPr>
        <w:t>为增强甲乙双方依法廉洁履约，防止发生违纪违法行为，根据国家有关法律法规和相关规定，特订立本廉洁协议书：</w:t>
      </w:r>
    </w:p>
    <w:p>
      <w:pPr>
        <w:pStyle w:val="7"/>
        <w:adjustRightInd w:val="0"/>
        <w:snapToGrid w:val="0"/>
        <w:spacing w:line="360" w:lineRule="auto"/>
        <w:ind w:firstLine="422"/>
        <w:rPr>
          <w:b/>
          <w:color w:val="auto"/>
          <w:sz w:val="24"/>
          <w:szCs w:val="24"/>
          <w:highlight w:val="none"/>
        </w:rPr>
      </w:pPr>
      <w:r>
        <w:rPr>
          <w:b/>
          <w:color w:val="auto"/>
          <w:sz w:val="24"/>
          <w:szCs w:val="24"/>
          <w:highlight w:val="none"/>
        </w:rPr>
        <w:t>第一条  甲、乙双方的共同义务</w:t>
      </w:r>
    </w:p>
    <w:p>
      <w:pPr>
        <w:pStyle w:val="7"/>
        <w:adjustRightInd w:val="0"/>
        <w:snapToGrid w:val="0"/>
        <w:spacing w:line="360" w:lineRule="auto"/>
        <w:rPr>
          <w:color w:val="auto"/>
          <w:sz w:val="24"/>
          <w:szCs w:val="24"/>
          <w:highlight w:val="none"/>
        </w:rPr>
      </w:pPr>
      <w:r>
        <w:rPr>
          <w:color w:val="auto"/>
          <w:sz w:val="24"/>
          <w:szCs w:val="24"/>
          <w:highlight w:val="none"/>
        </w:rPr>
        <w:t>（一）严格遵守国家有关物资采购、招标投标等市场经济活动的法律法规、政策以及廉洁规定。</w:t>
      </w:r>
    </w:p>
    <w:p>
      <w:pPr>
        <w:pStyle w:val="7"/>
        <w:adjustRightInd w:val="0"/>
        <w:snapToGrid w:val="0"/>
        <w:spacing w:line="360" w:lineRule="auto"/>
        <w:rPr>
          <w:color w:val="auto"/>
          <w:sz w:val="24"/>
          <w:szCs w:val="24"/>
          <w:highlight w:val="none"/>
        </w:rPr>
      </w:pPr>
      <w:r>
        <w:rPr>
          <w:color w:val="auto"/>
          <w:sz w:val="24"/>
          <w:szCs w:val="24"/>
          <w:highlight w:val="none"/>
        </w:rPr>
        <w:t>（二）严格履行合同约定，自觉承担合同义务。</w:t>
      </w:r>
    </w:p>
    <w:p>
      <w:pPr>
        <w:pStyle w:val="7"/>
        <w:adjustRightInd w:val="0"/>
        <w:snapToGrid w:val="0"/>
        <w:spacing w:line="360" w:lineRule="auto"/>
        <w:rPr>
          <w:color w:val="auto"/>
          <w:sz w:val="24"/>
          <w:szCs w:val="24"/>
          <w:highlight w:val="none"/>
        </w:rPr>
      </w:pPr>
      <w:r>
        <w:rPr>
          <w:color w:val="auto"/>
          <w:sz w:val="24"/>
          <w:szCs w:val="24"/>
          <w:highlight w:val="none"/>
        </w:rPr>
        <w:t>（三）双方合作活动必须坚持公平、公正、公开和诚信守法的原则（法律法规另有规定除外），不得为获取不正当利益损害国家、集体和对方利益，不得违反物资采购、招标投标等方面的规章制度。</w:t>
      </w:r>
    </w:p>
    <w:p>
      <w:pPr>
        <w:pStyle w:val="7"/>
        <w:adjustRightInd w:val="0"/>
        <w:snapToGrid w:val="0"/>
        <w:spacing w:line="360" w:lineRule="auto"/>
        <w:rPr>
          <w:color w:val="auto"/>
          <w:sz w:val="24"/>
          <w:szCs w:val="24"/>
          <w:highlight w:val="none"/>
        </w:rPr>
      </w:pPr>
      <w:r>
        <w:rPr>
          <w:color w:val="auto"/>
          <w:sz w:val="24"/>
          <w:szCs w:val="24"/>
          <w:highlight w:val="none"/>
        </w:rPr>
        <w:t>（四）建立健全自我监督制度，开展廉洁教育，公布举报电话，监督并认真查处违法违纪行为。</w:t>
      </w:r>
    </w:p>
    <w:p>
      <w:pPr>
        <w:pStyle w:val="7"/>
        <w:adjustRightInd w:val="0"/>
        <w:snapToGrid w:val="0"/>
        <w:spacing w:line="360" w:lineRule="auto"/>
        <w:rPr>
          <w:color w:val="auto"/>
          <w:sz w:val="24"/>
          <w:szCs w:val="24"/>
          <w:highlight w:val="none"/>
        </w:rPr>
      </w:pPr>
      <w:r>
        <w:rPr>
          <w:color w:val="auto"/>
          <w:sz w:val="24"/>
          <w:szCs w:val="24"/>
          <w:highlight w:val="none"/>
        </w:rPr>
        <w:t>（五）发现对方在业务活动中有违规、违纪、违法行为的，应及时提醒对方，情节严重的，应向有关纪检监察部门举报。</w:t>
      </w:r>
    </w:p>
    <w:p>
      <w:pPr>
        <w:pStyle w:val="7"/>
        <w:adjustRightInd w:val="0"/>
        <w:snapToGrid w:val="0"/>
        <w:spacing w:line="360" w:lineRule="auto"/>
        <w:ind w:firstLine="422"/>
        <w:rPr>
          <w:b/>
          <w:color w:val="auto"/>
          <w:sz w:val="24"/>
          <w:szCs w:val="24"/>
          <w:highlight w:val="none"/>
        </w:rPr>
      </w:pPr>
      <w:r>
        <w:rPr>
          <w:b/>
          <w:color w:val="auto"/>
          <w:sz w:val="24"/>
          <w:szCs w:val="24"/>
          <w:highlight w:val="none"/>
        </w:rPr>
        <w:t>第二条  甲方的义务</w:t>
      </w:r>
    </w:p>
    <w:p>
      <w:pPr>
        <w:pStyle w:val="7"/>
        <w:adjustRightInd w:val="0"/>
        <w:snapToGrid w:val="0"/>
        <w:spacing w:line="360" w:lineRule="auto"/>
        <w:rPr>
          <w:color w:val="auto"/>
          <w:sz w:val="24"/>
          <w:szCs w:val="24"/>
          <w:highlight w:val="none"/>
        </w:rPr>
      </w:pPr>
      <w:r>
        <w:rPr>
          <w:color w:val="auto"/>
          <w:sz w:val="24"/>
          <w:szCs w:val="24"/>
          <w:highlight w:val="none"/>
        </w:rPr>
        <w:t>甲方相关工作人员，在业务活动的事前、事中、事后，应遵守以下规定：</w:t>
      </w:r>
    </w:p>
    <w:p>
      <w:pPr>
        <w:pStyle w:val="7"/>
        <w:adjustRightInd w:val="0"/>
        <w:snapToGrid w:val="0"/>
        <w:spacing w:line="360" w:lineRule="auto"/>
        <w:rPr>
          <w:color w:val="auto"/>
          <w:sz w:val="24"/>
          <w:szCs w:val="24"/>
          <w:highlight w:val="none"/>
        </w:rPr>
      </w:pPr>
      <w:r>
        <w:rPr>
          <w:color w:val="auto"/>
          <w:sz w:val="24"/>
          <w:szCs w:val="24"/>
          <w:highlight w:val="none"/>
        </w:rPr>
        <w:t xml:space="preserve">（一）按照公平、公正、公开和诚实守信的原则开展各项业务活动，为乙方提供公平的竞争环境与平台； </w:t>
      </w:r>
    </w:p>
    <w:p>
      <w:pPr>
        <w:pStyle w:val="7"/>
        <w:adjustRightInd w:val="0"/>
        <w:snapToGrid w:val="0"/>
        <w:spacing w:line="360" w:lineRule="auto"/>
        <w:rPr>
          <w:color w:val="auto"/>
          <w:sz w:val="24"/>
          <w:szCs w:val="24"/>
          <w:highlight w:val="none"/>
        </w:rPr>
      </w:pPr>
      <w:r>
        <w:rPr>
          <w:color w:val="auto"/>
          <w:sz w:val="24"/>
          <w:szCs w:val="24"/>
          <w:highlight w:val="none"/>
        </w:rPr>
        <w:t xml:space="preserve">（二）不向乙方泄漏涉及有关业务活动的秘密； </w:t>
      </w:r>
    </w:p>
    <w:p>
      <w:pPr>
        <w:pStyle w:val="7"/>
        <w:adjustRightInd w:val="0"/>
        <w:snapToGrid w:val="0"/>
        <w:spacing w:line="360" w:lineRule="auto"/>
        <w:rPr>
          <w:color w:val="auto"/>
          <w:sz w:val="24"/>
          <w:szCs w:val="24"/>
          <w:highlight w:val="none"/>
        </w:rPr>
      </w:pPr>
      <w:r>
        <w:rPr>
          <w:color w:val="auto"/>
          <w:sz w:val="24"/>
          <w:szCs w:val="24"/>
          <w:highlight w:val="none"/>
        </w:rPr>
        <w:t>（三）不参与影响相关工作正常和公正开展的其他活动；</w:t>
      </w:r>
    </w:p>
    <w:p>
      <w:pPr>
        <w:pStyle w:val="7"/>
        <w:adjustRightInd w:val="0"/>
        <w:snapToGrid w:val="0"/>
        <w:spacing w:line="360" w:lineRule="auto"/>
        <w:rPr>
          <w:color w:val="auto"/>
          <w:sz w:val="24"/>
          <w:szCs w:val="24"/>
          <w:highlight w:val="none"/>
        </w:rPr>
      </w:pPr>
      <w:r>
        <w:rPr>
          <w:color w:val="auto"/>
          <w:sz w:val="24"/>
          <w:szCs w:val="24"/>
          <w:highlight w:val="none"/>
        </w:rPr>
        <w:t>（四）不在乙方及/或相关单位报销任何应由甲方或个人支付的费用；</w:t>
      </w:r>
    </w:p>
    <w:p>
      <w:pPr>
        <w:pStyle w:val="7"/>
        <w:adjustRightInd w:val="0"/>
        <w:snapToGrid w:val="0"/>
        <w:spacing w:line="360" w:lineRule="auto"/>
        <w:rPr>
          <w:color w:val="auto"/>
          <w:sz w:val="24"/>
          <w:szCs w:val="24"/>
          <w:highlight w:val="none"/>
        </w:rPr>
      </w:pPr>
      <w:r>
        <w:rPr>
          <w:color w:val="auto"/>
          <w:sz w:val="24"/>
          <w:szCs w:val="24"/>
          <w:highlight w:val="none"/>
        </w:rPr>
        <w:t>（五）不要求、暗示或接受乙方及/或相关单位为个人装修住房、婚丧嫁娶、配偶子女的工作安排以及境内外旅游等提供方便；</w:t>
      </w:r>
    </w:p>
    <w:p>
      <w:pPr>
        <w:pStyle w:val="7"/>
        <w:adjustRightInd w:val="0"/>
        <w:snapToGrid w:val="0"/>
        <w:spacing w:line="360" w:lineRule="auto"/>
        <w:rPr>
          <w:color w:val="auto"/>
          <w:sz w:val="24"/>
          <w:szCs w:val="24"/>
          <w:highlight w:val="none"/>
        </w:rPr>
      </w:pPr>
      <w:r>
        <w:rPr>
          <w:color w:val="auto"/>
          <w:sz w:val="24"/>
          <w:szCs w:val="24"/>
          <w:highlight w:val="none"/>
        </w:rPr>
        <w:t>（六）不收受或索取红包、礼金、购物卡、有价证券、贵重物品、感谢费和好处费等非正当利益；</w:t>
      </w:r>
    </w:p>
    <w:p>
      <w:pPr>
        <w:pStyle w:val="7"/>
        <w:adjustRightInd w:val="0"/>
        <w:snapToGrid w:val="0"/>
        <w:spacing w:line="360" w:lineRule="auto"/>
        <w:rPr>
          <w:color w:val="auto"/>
          <w:sz w:val="24"/>
          <w:szCs w:val="24"/>
          <w:highlight w:val="none"/>
        </w:rPr>
      </w:pPr>
      <w:r>
        <w:rPr>
          <w:color w:val="auto"/>
          <w:sz w:val="24"/>
          <w:szCs w:val="24"/>
          <w:highlight w:val="none"/>
        </w:rPr>
        <w:t>（七）不向乙方介绍配偶、子女、亲属参与与甲方有关的经济活动，不得以任何理由向乙方和相关单位推荐第三方单位；</w:t>
      </w:r>
    </w:p>
    <w:p>
      <w:pPr>
        <w:pStyle w:val="7"/>
        <w:adjustRightInd w:val="0"/>
        <w:snapToGrid w:val="0"/>
        <w:spacing w:line="360" w:lineRule="auto"/>
        <w:rPr>
          <w:color w:val="auto"/>
          <w:sz w:val="24"/>
          <w:szCs w:val="24"/>
          <w:highlight w:val="none"/>
        </w:rPr>
      </w:pPr>
      <w:r>
        <w:rPr>
          <w:color w:val="auto"/>
          <w:sz w:val="24"/>
          <w:szCs w:val="24"/>
          <w:highlight w:val="none"/>
        </w:rPr>
        <w:t>（八）不违反《中国共产党廉洁自律准则》等规定的内容。</w:t>
      </w:r>
    </w:p>
    <w:p>
      <w:pPr>
        <w:pStyle w:val="7"/>
        <w:adjustRightInd w:val="0"/>
        <w:snapToGrid w:val="0"/>
        <w:spacing w:line="360" w:lineRule="auto"/>
        <w:ind w:firstLine="422"/>
        <w:rPr>
          <w:b/>
          <w:color w:val="auto"/>
          <w:sz w:val="24"/>
          <w:szCs w:val="24"/>
          <w:highlight w:val="none"/>
        </w:rPr>
      </w:pPr>
      <w:r>
        <w:rPr>
          <w:b/>
          <w:color w:val="auto"/>
          <w:sz w:val="24"/>
          <w:szCs w:val="24"/>
          <w:highlight w:val="none"/>
        </w:rPr>
        <w:t>第三条  乙方的义务</w:t>
      </w:r>
    </w:p>
    <w:p>
      <w:pPr>
        <w:pStyle w:val="7"/>
        <w:adjustRightInd w:val="0"/>
        <w:snapToGrid w:val="0"/>
        <w:spacing w:line="360" w:lineRule="auto"/>
        <w:rPr>
          <w:color w:val="auto"/>
          <w:sz w:val="24"/>
          <w:szCs w:val="24"/>
          <w:highlight w:val="none"/>
        </w:rPr>
      </w:pPr>
      <w:r>
        <w:rPr>
          <w:color w:val="auto"/>
          <w:sz w:val="24"/>
          <w:szCs w:val="24"/>
          <w:highlight w:val="none"/>
        </w:rPr>
        <w:t>在与甲方业务交往过程中，按照有关法律法规和程序开展工作，严格执行国家的有关方针、政策，并遵守以下规定：</w:t>
      </w:r>
    </w:p>
    <w:p>
      <w:pPr>
        <w:pStyle w:val="7"/>
        <w:adjustRightInd w:val="0"/>
        <w:snapToGrid w:val="0"/>
        <w:spacing w:line="360" w:lineRule="auto"/>
        <w:rPr>
          <w:color w:val="auto"/>
          <w:sz w:val="24"/>
          <w:szCs w:val="24"/>
          <w:highlight w:val="none"/>
        </w:rPr>
      </w:pPr>
      <w:r>
        <w:rPr>
          <w:color w:val="auto"/>
          <w:sz w:val="24"/>
          <w:szCs w:val="24"/>
          <w:highlight w:val="none"/>
        </w:rPr>
        <w:t>（一）不以任何理由为甲方及/或相关单位报销应由对方或个人支付的费用；</w:t>
      </w:r>
    </w:p>
    <w:p>
      <w:pPr>
        <w:pStyle w:val="7"/>
        <w:adjustRightInd w:val="0"/>
        <w:snapToGrid w:val="0"/>
        <w:spacing w:line="360" w:lineRule="auto"/>
        <w:rPr>
          <w:color w:val="auto"/>
          <w:sz w:val="24"/>
          <w:szCs w:val="24"/>
          <w:highlight w:val="none"/>
        </w:rPr>
      </w:pPr>
      <w:r>
        <w:rPr>
          <w:color w:val="auto"/>
          <w:sz w:val="24"/>
          <w:szCs w:val="24"/>
          <w:highlight w:val="none"/>
        </w:rPr>
        <w:t>（二）不以任何理由向甲方负责人及/或其工作人员赠送红包、礼金、购物卡、有价证券、贵重物品、感谢费和好处费等非正当利益；</w:t>
      </w:r>
    </w:p>
    <w:p>
      <w:pPr>
        <w:pStyle w:val="7"/>
        <w:adjustRightInd w:val="0"/>
        <w:snapToGrid w:val="0"/>
        <w:spacing w:line="360" w:lineRule="auto"/>
        <w:rPr>
          <w:color w:val="auto"/>
          <w:sz w:val="24"/>
          <w:szCs w:val="24"/>
          <w:highlight w:val="none"/>
        </w:rPr>
      </w:pPr>
      <w:r>
        <w:rPr>
          <w:color w:val="auto"/>
          <w:sz w:val="24"/>
          <w:szCs w:val="24"/>
          <w:highlight w:val="none"/>
        </w:rPr>
        <w:t>（三）不准为甲方、与甲方相关的单位及/或个人装修住房、婚丧嫁取、配偶子女的工作安排以及境内外旅游等提供方便；</w:t>
      </w:r>
    </w:p>
    <w:p>
      <w:pPr>
        <w:pStyle w:val="7"/>
        <w:adjustRightInd w:val="0"/>
        <w:snapToGrid w:val="0"/>
        <w:spacing w:line="360" w:lineRule="auto"/>
        <w:rPr>
          <w:color w:val="auto"/>
          <w:sz w:val="24"/>
          <w:szCs w:val="24"/>
          <w:highlight w:val="none"/>
        </w:rPr>
      </w:pPr>
      <w:r>
        <w:rPr>
          <w:color w:val="auto"/>
          <w:sz w:val="24"/>
          <w:szCs w:val="24"/>
          <w:highlight w:val="none"/>
        </w:rPr>
        <w:t>（四）不得以谋取非正当利益为目的，擅自与甲方工作人员就业务问题进行私下商谈或者达成利益默契；</w:t>
      </w:r>
    </w:p>
    <w:p>
      <w:pPr>
        <w:pStyle w:val="7"/>
        <w:adjustRightInd w:val="0"/>
        <w:snapToGrid w:val="0"/>
        <w:spacing w:line="360" w:lineRule="auto"/>
        <w:rPr>
          <w:color w:val="auto"/>
          <w:sz w:val="24"/>
          <w:szCs w:val="24"/>
          <w:highlight w:val="none"/>
        </w:rPr>
      </w:pPr>
      <w:r>
        <w:rPr>
          <w:color w:val="auto"/>
          <w:sz w:val="24"/>
          <w:szCs w:val="24"/>
          <w:highlight w:val="none"/>
        </w:rPr>
        <w:t>（五）乙方不得向甲方员工及/或其利益代言人提供任何形式的借款；</w:t>
      </w:r>
    </w:p>
    <w:p>
      <w:pPr>
        <w:pStyle w:val="7"/>
        <w:adjustRightInd w:val="0"/>
        <w:snapToGrid w:val="0"/>
        <w:spacing w:line="360" w:lineRule="auto"/>
        <w:rPr>
          <w:color w:val="auto"/>
          <w:sz w:val="24"/>
          <w:szCs w:val="24"/>
          <w:highlight w:val="none"/>
        </w:rPr>
      </w:pPr>
      <w:r>
        <w:rPr>
          <w:color w:val="auto"/>
          <w:sz w:val="24"/>
          <w:szCs w:val="24"/>
          <w:highlight w:val="none"/>
        </w:rPr>
        <w:t>（六）乙方的股东、董事、监事、经理、高级管理人员、合作项目负责人及项目成员系甲方员工或其利益代言人的，应在合作前以书面方式如实、全面告知甲方。</w:t>
      </w:r>
    </w:p>
    <w:p>
      <w:pPr>
        <w:pStyle w:val="7"/>
        <w:adjustRightInd w:val="0"/>
        <w:snapToGrid w:val="0"/>
        <w:spacing w:line="360" w:lineRule="auto"/>
        <w:rPr>
          <w:color w:val="auto"/>
          <w:sz w:val="24"/>
          <w:szCs w:val="24"/>
          <w:highlight w:val="none"/>
        </w:rPr>
      </w:pPr>
      <w:r>
        <w:rPr>
          <w:color w:val="auto"/>
          <w:sz w:val="24"/>
          <w:szCs w:val="24"/>
          <w:highlight w:val="none"/>
        </w:rPr>
        <w:t>（七）合作过程中，乙方不得允许甲方员工及/或其配偶持有或由第三方代持有乙方股权（但通过公开的证券交易市场且低于发行在外5%的权益、通过直接或间接持有无实际控制权的基金、或通过受益人非本人或利益代言人的信托方式持有的股份除外），亦不得聘用甲方员工（包括且不限于建立正式劳动关系、劳务派遣、外包服务、兼职、咨询顾问等其他形式）。乙方如有聘用甲方员工配偶及其他利益代言人任职于乙方的，应在聘用之日起三日内以书面方式如实、全面告知甲方。</w:t>
      </w:r>
    </w:p>
    <w:p>
      <w:pPr>
        <w:pStyle w:val="7"/>
        <w:adjustRightInd w:val="0"/>
        <w:snapToGrid w:val="0"/>
        <w:spacing w:line="360" w:lineRule="auto"/>
        <w:rPr>
          <w:color w:val="auto"/>
          <w:sz w:val="24"/>
          <w:szCs w:val="24"/>
          <w:highlight w:val="none"/>
        </w:rPr>
      </w:pPr>
      <w:r>
        <w:rPr>
          <w:color w:val="auto"/>
          <w:sz w:val="24"/>
          <w:szCs w:val="24"/>
          <w:highlight w:val="none"/>
        </w:rPr>
        <w:t>（八）发现甲方工作人员有违反本廉洁协议书及党和国家相关法律、法规等文件规定的，应向甲方单位举报，甲方会对所有信息提供者及所提供的全部资料严格保密。</w:t>
      </w:r>
    </w:p>
    <w:p>
      <w:pPr>
        <w:pStyle w:val="7"/>
        <w:adjustRightInd w:val="0"/>
        <w:snapToGrid w:val="0"/>
        <w:spacing w:line="360" w:lineRule="auto"/>
        <w:ind w:firstLine="422"/>
        <w:rPr>
          <w:b/>
          <w:color w:val="auto"/>
          <w:sz w:val="24"/>
          <w:szCs w:val="24"/>
          <w:highlight w:val="none"/>
        </w:rPr>
      </w:pPr>
      <w:r>
        <w:rPr>
          <w:b/>
          <w:color w:val="auto"/>
          <w:sz w:val="24"/>
          <w:szCs w:val="24"/>
          <w:highlight w:val="none"/>
        </w:rPr>
        <w:t>第四条  相关责任</w:t>
      </w:r>
    </w:p>
    <w:p>
      <w:pPr>
        <w:pStyle w:val="7"/>
        <w:adjustRightInd w:val="0"/>
        <w:snapToGrid w:val="0"/>
        <w:spacing w:line="360" w:lineRule="auto"/>
        <w:rPr>
          <w:color w:val="auto"/>
          <w:sz w:val="24"/>
          <w:szCs w:val="24"/>
          <w:highlight w:val="none"/>
        </w:rPr>
      </w:pPr>
      <w:r>
        <w:rPr>
          <w:color w:val="auto"/>
          <w:sz w:val="24"/>
          <w:szCs w:val="24"/>
          <w:highlight w:val="none"/>
        </w:rPr>
        <w:t>（一）甲方员工违反本廉洁协议书第一、二条规定的，一经查实，严格按照管理权限，依据有关党纪、法律法规、规章制度给予纪律处分或组织处理；涉嫌犯罪的，移送司法机关依法追究刑事责任。</w:t>
      </w:r>
    </w:p>
    <w:p>
      <w:pPr>
        <w:pStyle w:val="7"/>
        <w:adjustRightInd w:val="0"/>
        <w:snapToGrid w:val="0"/>
        <w:spacing w:line="360" w:lineRule="auto"/>
        <w:rPr>
          <w:color w:val="auto"/>
          <w:sz w:val="24"/>
          <w:szCs w:val="24"/>
          <w:highlight w:val="none"/>
        </w:rPr>
      </w:pPr>
      <w:r>
        <w:rPr>
          <w:color w:val="auto"/>
          <w:sz w:val="24"/>
          <w:szCs w:val="24"/>
          <w:highlight w:val="none"/>
        </w:rPr>
        <w:t>（二）乙方违反本廉洁协议书第一、三条规定的，一经查实，甲方有权单方部分或全部终止与乙方的合同，同时乙方应向甲方支付所涉订单（合同）金额的10%作为违约金。乙方应于甲方发现违约行为之日起10个工作日内支付违约金，如未及时支付，甲方有权从合同款项和履约保证金中直接扣除。同时，乙方将被列入</w:t>
      </w:r>
      <w:r>
        <w:rPr>
          <w:rFonts w:hint="eastAsia"/>
          <w:color w:val="auto"/>
          <w:sz w:val="24"/>
          <w:szCs w:val="24"/>
          <w:highlight w:val="none"/>
        </w:rPr>
        <w:t>投标人</w:t>
      </w:r>
      <w:r>
        <w:rPr>
          <w:color w:val="auto"/>
          <w:sz w:val="24"/>
          <w:szCs w:val="24"/>
          <w:highlight w:val="none"/>
        </w:rPr>
        <w:t>黑名单。乙方涉嫌犯罪的，甲方将依法移送司法机关依法追究其刑事责任。</w:t>
      </w:r>
    </w:p>
    <w:p>
      <w:pPr>
        <w:pStyle w:val="7"/>
        <w:adjustRightInd w:val="0"/>
        <w:snapToGrid w:val="0"/>
        <w:spacing w:line="360" w:lineRule="auto"/>
        <w:rPr>
          <w:color w:val="auto"/>
          <w:sz w:val="24"/>
          <w:szCs w:val="24"/>
          <w:highlight w:val="none"/>
        </w:rPr>
      </w:pPr>
      <w:r>
        <w:rPr>
          <w:color w:val="auto"/>
          <w:sz w:val="24"/>
          <w:szCs w:val="24"/>
          <w:highlight w:val="none"/>
        </w:rPr>
        <w:t>（三）若乙方违反本协议第三条第（六）款及/或第（七）款之规定，除应根据上述第（二）款之规定承担违约责任外，乙方还应将因此行为所得的全部收益支付给甲方。乙方应于甲方发现该等违约行为之日起10个工作日内向甲方支付其所得的全部收益，如未及时支付，甲方有权从合同款项中直接扣除，不足部分甲方有权向乙方进行追偿。</w:t>
      </w:r>
    </w:p>
    <w:p>
      <w:pPr>
        <w:pStyle w:val="7"/>
        <w:adjustRightInd w:val="0"/>
        <w:snapToGrid w:val="0"/>
        <w:spacing w:line="360" w:lineRule="auto"/>
        <w:rPr>
          <w:color w:val="auto"/>
          <w:sz w:val="24"/>
          <w:szCs w:val="24"/>
          <w:highlight w:val="none"/>
        </w:rPr>
      </w:pPr>
      <w:r>
        <w:rPr>
          <w:color w:val="auto"/>
          <w:sz w:val="24"/>
          <w:szCs w:val="24"/>
          <w:highlight w:val="none"/>
        </w:rPr>
        <w:t>（四）对于乙方，无论是主动还是被动发生第一条、第二条、第三条所示行为的，如果主动向甲方提供有效信息，甲方可以考虑继续与乙方合作并给予相应的奖励，对于上述情形的处理甲方有完全的判断权和自主权，乙方认可并自愿接受处理结果。</w:t>
      </w:r>
    </w:p>
    <w:p>
      <w:pPr>
        <w:pStyle w:val="7"/>
        <w:adjustRightInd w:val="0"/>
        <w:snapToGrid w:val="0"/>
        <w:spacing w:line="360" w:lineRule="auto"/>
        <w:ind w:firstLine="422"/>
        <w:rPr>
          <w:b/>
          <w:color w:val="auto"/>
          <w:sz w:val="24"/>
          <w:szCs w:val="24"/>
          <w:highlight w:val="none"/>
        </w:rPr>
      </w:pPr>
      <w:r>
        <w:rPr>
          <w:b/>
          <w:color w:val="auto"/>
          <w:sz w:val="24"/>
          <w:szCs w:val="24"/>
          <w:highlight w:val="none"/>
        </w:rPr>
        <w:t>第五条  协议书生效及法律效力</w:t>
      </w:r>
    </w:p>
    <w:p>
      <w:pPr>
        <w:pStyle w:val="7"/>
        <w:adjustRightInd w:val="0"/>
        <w:snapToGrid w:val="0"/>
        <w:spacing w:line="360" w:lineRule="auto"/>
        <w:rPr>
          <w:color w:val="auto"/>
          <w:sz w:val="24"/>
          <w:szCs w:val="24"/>
          <w:highlight w:val="none"/>
        </w:rPr>
      </w:pPr>
      <w:r>
        <w:rPr>
          <w:color w:val="auto"/>
          <w:sz w:val="24"/>
          <w:szCs w:val="24"/>
          <w:highlight w:val="none"/>
        </w:rPr>
        <w:t>（一）本廉洁协议书经双方盖章后生效。</w:t>
      </w:r>
    </w:p>
    <w:p>
      <w:pPr>
        <w:pStyle w:val="7"/>
        <w:adjustRightInd w:val="0"/>
        <w:snapToGrid w:val="0"/>
        <w:spacing w:line="360" w:lineRule="auto"/>
        <w:rPr>
          <w:color w:val="auto"/>
          <w:sz w:val="24"/>
          <w:szCs w:val="24"/>
          <w:highlight w:val="none"/>
        </w:rPr>
      </w:pPr>
      <w:r>
        <w:rPr>
          <w:color w:val="auto"/>
          <w:sz w:val="24"/>
          <w:szCs w:val="24"/>
          <w:highlight w:val="none"/>
        </w:rPr>
        <w:t>（二）除非甲乙双方另行签订新的廉洁协议书，否则本廉洁协议书在甲方与乙方存在业务关系期间均对双方产生约束力。</w:t>
      </w:r>
    </w:p>
    <w:p>
      <w:pPr>
        <w:pStyle w:val="7"/>
        <w:adjustRightInd w:val="0"/>
        <w:snapToGrid w:val="0"/>
        <w:spacing w:line="360" w:lineRule="auto"/>
        <w:ind w:firstLine="422"/>
        <w:rPr>
          <w:b/>
          <w:color w:val="auto"/>
          <w:sz w:val="24"/>
          <w:szCs w:val="24"/>
          <w:highlight w:val="none"/>
        </w:rPr>
      </w:pPr>
      <w:r>
        <w:rPr>
          <w:b/>
          <w:color w:val="auto"/>
          <w:sz w:val="24"/>
          <w:szCs w:val="24"/>
          <w:highlight w:val="none"/>
        </w:rPr>
        <w:t>第六条  其他</w:t>
      </w:r>
    </w:p>
    <w:p>
      <w:pPr>
        <w:pStyle w:val="7"/>
        <w:adjustRightInd w:val="0"/>
        <w:snapToGrid w:val="0"/>
        <w:spacing w:line="360" w:lineRule="auto"/>
        <w:rPr>
          <w:color w:val="auto"/>
          <w:sz w:val="24"/>
          <w:szCs w:val="24"/>
          <w:highlight w:val="none"/>
        </w:rPr>
      </w:pPr>
      <w:r>
        <w:rPr>
          <w:color w:val="auto"/>
          <w:sz w:val="24"/>
          <w:szCs w:val="24"/>
          <w:highlight w:val="none"/>
        </w:rPr>
        <w:t>（一）本廉洁协议书作为主合同附件，与主合同具有同等法律效力。</w:t>
      </w:r>
    </w:p>
    <w:p>
      <w:pPr>
        <w:pStyle w:val="7"/>
        <w:adjustRightInd w:val="0"/>
        <w:snapToGrid w:val="0"/>
        <w:spacing w:line="360" w:lineRule="auto"/>
        <w:rPr>
          <w:color w:val="auto"/>
          <w:sz w:val="24"/>
          <w:szCs w:val="24"/>
          <w:highlight w:val="none"/>
        </w:rPr>
      </w:pPr>
      <w:r>
        <w:rPr>
          <w:color w:val="auto"/>
          <w:sz w:val="24"/>
          <w:szCs w:val="24"/>
          <w:highlight w:val="none"/>
        </w:rPr>
        <w:t>（二）甲乙双方确认在订立本廉洁协议书前已仔细阅读条款内容，甲乙双方对本廉洁协议书所产生的法律责任已清楚知悉并承诺遵守。</w:t>
      </w:r>
    </w:p>
    <w:p>
      <w:pPr>
        <w:spacing w:line="360" w:lineRule="auto"/>
        <w:rPr>
          <w:color w:val="auto"/>
          <w:sz w:val="24"/>
          <w:szCs w:val="24"/>
          <w:highlight w:val="none"/>
        </w:rPr>
      </w:pPr>
    </w:p>
    <w:p>
      <w:pPr>
        <w:pStyle w:val="21"/>
        <w:spacing w:line="360" w:lineRule="auto"/>
        <w:ind w:firstLine="210"/>
        <w:rPr>
          <w:rFonts w:ascii="Times New Roman" w:hAnsi="Times New Roman"/>
          <w:color w:val="auto"/>
          <w:sz w:val="24"/>
          <w:szCs w:val="24"/>
          <w:highlight w:val="none"/>
        </w:rPr>
      </w:pPr>
    </w:p>
    <w:p>
      <w:pPr>
        <w:widowControl/>
        <w:spacing w:line="360" w:lineRule="auto"/>
        <w:jc w:val="left"/>
        <w:rPr>
          <w:color w:val="auto"/>
          <w:sz w:val="24"/>
          <w:szCs w:val="24"/>
          <w:highlight w:val="none"/>
        </w:rPr>
      </w:pPr>
    </w:p>
    <w:p>
      <w:pPr>
        <w:pStyle w:val="7"/>
        <w:spacing w:line="360" w:lineRule="auto"/>
        <w:ind w:firstLine="0" w:firstLineChars="0"/>
        <w:rPr>
          <w:color w:val="auto"/>
          <w:spacing w:val="-20"/>
          <w:sz w:val="24"/>
          <w:szCs w:val="24"/>
          <w:highlight w:val="none"/>
        </w:rPr>
      </w:pPr>
      <w:r>
        <w:rPr>
          <w:color w:val="auto"/>
          <w:sz w:val="24"/>
          <w:szCs w:val="24"/>
          <w:highlight w:val="none"/>
        </w:rPr>
        <w:t>甲方（盖章）</w:t>
      </w:r>
      <w:r>
        <w:rPr>
          <w:rFonts w:hint="eastAsia"/>
          <w:color w:val="auto"/>
          <w:sz w:val="24"/>
          <w:szCs w:val="24"/>
          <w:highlight w:val="none"/>
        </w:rPr>
        <w:t xml:space="preserve">： </w:t>
      </w:r>
      <w:r>
        <w:rPr>
          <w:color w:val="auto"/>
          <w:sz w:val="24"/>
          <w:szCs w:val="24"/>
          <w:highlight w:val="none"/>
        </w:rPr>
        <w:t xml:space="preserve">            </w:t>
      </w:r>
      <w:r>
        <w:rPr>
          <w:rFonts w:hint="eastAsia"/>
          <w:color w:val="auto"/>
          <w:sz w:val="24"/>
          <w:szCs w:val="24"/>
          <w:highlight w:val="none"/>
        </w:rPr>
        <w:t xml:space="preserve">                     </w:t>
      </w:r>
      <w:r>
        <w:rPr>
          <w:color w:val="auto"/>
          <w:spacing w:val="-20"/>
          <w:sz w:val="24"/>
          <w:szCs w:val="24"/>
          <w:highlight w:val="none"/>
        </w:rPr>
        <w:t>乙方（盖章）：</w:t>
      </w:r>
    </w:p>
    <w:p>
      <w:pPr>
        <w:pStyle w:val="7"/>
        <w:spacing w:line="360" w:lineRule="auto"/>
        <w:ind w:firstLine="0" w:firstLineChars="0"/>
        <w:rPr>
          <w:color w:val="auto"/>
          <w:sz w:val="24"/>
          <w:szCs w:val="24"/>
          <w:highlight w:val="none"/>
        </w:rPr>
      </w:pPr>
    </w:p>
    <w:p>
      <w:pPr>
        <w:pStyle w:val="7"/>
        <w:spacing w:line="360" w:lineRule="auto"/>
        <w:rPr>
          <w:color w:val="auto"/>
          <w:sz w:val="24"/>
          <w:szCs w:val="24"/>
          <w:highlight w:val="none"/>
        </w:rPr>
      </w:pPr>
    </w:p>
    <w:p>
      <w:pPr>
        <w:pStyle w:val="7"/>
        <w:spacing w:line="360" w:lineRule="auto"/>
        <w:ind w:firstLine="0" w:firstLineChars="0"/>
        <w:rPr>
          <w:color w:val="auto"/>
          <w:szCs w:val="21"/>
          <w:highlight w:val="none"/>
        </w:rPr>
      </w:pPr>
      <w:r>
        <w:rPr>
          <w:color w:val="auto"/>
          <w:sz w:val="24"/>
          <w:szCs w:val="24"/>
          <w:highlight w:val="none"/>
        </w:rPr>
        <w:t>日期</w:t>
      </w:r>
      <w:r>
        <w:rPr>
          <w:rFonts w:hint="eastAsia"/>
          <w:color w:val="auto"/>
          <w:sz w:val="24"/>
          <w:szCs w:val="24"/>
          <w:highlight w:val="none"/>
        </w:rPr>
        <w:t xml:space="preserve">：    </w:t>
      </w:r>
      <w:r>
        <w:rPr>
          <w:color w:val="auto"/>
          <w:sz w:val="24"/>
          <w:szCs w:val="24"/>
          <w:highlight w:val="none"/>
        </w:rPr>
        <w:t>年</w:t>
      </w:r>
      <w:r>
        <w:rPr>
          <w:rFonts w:hint="eastAsia"/>
          <w:color w:val="auto"/>
          <w:sz w:val="24"/>
          <w:szCs w:val="24"/>
          <w:highlight w:val="none"/>
        </w:rPr>
        <w:t xml:space="preserve">    </w:t>
      </w:r>
      <w:r>
        <w:rPr>
          <w:color w:val="auto"/>
          <w:sz w:val="24"/>
          <w:szCs w:val="24"/>
          <w:highlight w:val="none"/>
        </w:rPr>
        <w:t>月</w:t>
      </w:r>
      <w:r>
        <w:rPr>
          <w:rFonts w:hint="eastAsia"/>
          <w:color w:val="auto"/>
          <w:sz w:val="24"/>
          <w:szCs w:val="24"/>
          <w:highlight w:val="none"/>
        </w:rPr>
        <w:t xml:space="preserve">  </w:t>
      </w:r>
      <w:r>
        <w:rPr>
          <w:color w:val="auto"/>
          <w:sz w:val="24"/>
          <w:szCs w:val="24"/>
          <w:highlight w:val="none"/>
        </w:rPr>
        <w:t xml:space="preserve"> 日                     </w:t>
      </w:r>
      <w:r>
        <w:rPr>
          <w:rFonts w:hint="eastAsia"/>
          <w:color w:val="auto"/>
          <w:sz w:val="24"/>
          <w:szCs w:val="24"/>
          <w:highlight w:val="none"/>
        </w:rPr>
        <w:t xml:space="preserve"> </w:t>
      </w:r>
      <w:r>
        <w:rPr>
          <w:color w:val="auto"/>
          <w:sz w:val="24"/>
          <w:szCs w:val="24"/>
          <w:highlight w:val="none"/>
        </w:rPr>
        <w:t xml:space="preserve">  日期</w:t>
      </w:r>
      <w:r>
        <w:rPr>
          <w:rFonts w:hint="eastAsia"/>
          <w:color w:val="auto"/>
          <w:sz w:val="24"/>
          <w:szCs w:val="24"/>
          <w:highlight w:val="none"/>
        </w:rPr>
        <w:t xml:space="preserve">：    </w:t>
      </w:r>
      <w:r>
        <w:rPr>
          <w:color w:val="auto"/>
          <w:sz w:val="24"/>
          <w:szCs w:val="24"/>
          <w:highlight w:val="none"/>
        </w:rPr>
        <w:t>年</w:t>
      </w:r>
      <w:r>
        <w:rPr>
          <w:rFonts w:hint="eastAsia"/>
          <w:color w:val="auto"/>
          <w:sz w:val="24"/>
          <w:szCs w:val="24"/>
          <w:highlight w:val="none"/>
        </w:rPr>
        <w:t xml:space="preserve">    </w:t>
      </w:r>
      <w:r>
        <w:rPr>
          <w:color w:val="auto"/>
          <w:sz w:val="24"/>
          <w:szCs w:val="24"/>
          <w:highlight w:val="none"/>
        </w:rPr>
        <w:t>月</w:t>
      </w:r>
      <w:r>
        <w:rPr>
          <w:rFonts w:hint="eastAsia"/>
          <w:color w:val="auto"/>
          <w:sz w:val="24"/>
          <w:szCs w:val="24"/>
          <w:highlight w:val="none"/>
        </w:rPr>
        <w:t xml:space="preserve">  </w:t>
      </w:r>
      <w:r>
        <w:rPr>
          <w:color w:val="auto"/>
          <w:sz w:val="24"/>
          <w:szCs w:val="24"/>
          <w:highlight w:val="none"/>
        </w:rPr>
        <w:t xml:space="preserve"> 日</w:t>
      </w:r>
    </w:p>
    <w:p>
      <w:pPr>
        <w:pStyle w:val="7"/>
        <w:spacing w:line="500" w:lineRule="exact"/>
        <w:ind w:firstLine="0" w:firstLineChars="0"/>
        <w:rPr>
          <w:color w:val="auto"/>
          <w:kern w:val="0"/>
          <w:szCs w:val="28"/>
          <w:highlight w:val="none"/>
        </w:rPr>
      </w:pPr>
    </w:p>
    <w:p>
      <w:pPr>
        <w:adjustRightInd w:val="0"/>
        <w:snapToGrid w:val="0"/>
        <w:rPr>
          <w:color w:val="auto"/>
          <w:kern w:val="0"/>
          <w:sz w:val="28"/>
          <w:szCs w:val="28"/>
          <w:highlight w:val="none"/>
        </w:rPr>
      </w:pPr>
    </w:p>
    <w:p>
      <w:pPr>
        <w:rPr>
          <w:color w:val="auto"/>
          <w:kern w:val="0"/>
          <w:sz w:val="28"/>
          <w:szCs w:val="28"/>
          <w:highlight w:val="none"/>
        </w:rPr>
      </w:pPr>
      <w:r>
        <w:rPr>
          <w:color w:val="auto"/>
          <w:kern w:val="0"/>
          <w:sz w:val="28"/>
          <w:szCs w:val="28"/>
          <w:highlight w:val="none"/>
        </w:rPr>
        <w:br w:type="page"/>
      </w:r>
    </w:p>
    <w:p>
      <w:pPr>
        <w:adjustRightInd w:val="0"/>
        <w:snapToGrid w:val="0"/>
        <w:rPr>
          <w:color w:val="auto"/>
          <w:kern w:val="0"/>
          <w:sz w:val="28"/>
          <w:szCs w:val="28"/>
          <w:highlight w:val="none"/>
        </w:rPr>
      </w:pPr>
      <w:r>
        <w:rPr>
          <w:color w:val="auto"/>
          <w:kern w:val="0"/>
          <w:sz w:val="28"/>
          <w:szCs w:val="28"/>
          <w:highlight w:val="none"/>
        </w:rPr>
        <w:t>附件二</w:t>
      </w:r>
    </w:p>
    <w:p>
      <w:pPr>
        <w:pStyle w:val="20"/>
        <w:adjustRightInd w:val="0"/>
        <w:snapToGrid w:val="0"/>
        <w:rPr>
          <w:rFonts w:ascii="Times New Roman" w:hAnsi="Times New Roman"/>
          <w:color w:val="auto"/>
          <w:highlight w:val="none"/>
        </w:rPr>
      </w:pPr>
      <w:bookmarkStart w:id="69" w:name="_Toc17914"/>
      <w:bookmarkStart w:id="70" w:name="_Toc22275"/>
      <w:r>
        <w:rPr>
          <w:rFonts w:hint="eastAsia" w:ascii="Times New Roman" w:hAnsi="Times New Roman"/>
          <w:bCs w:val="0"/>
          <w:color w:val="auto"/>
          <w:highlight w:val="none"/>
        </w:rPr>
        <w:t>装备</w:t>
      </w:r>
      <w:r>
        <w:rPr>
          <w:rFonts w:hint="eastAsia" w:ascii="Times New Roman" w:hAnsi="Times New Roman"/>
          <w:color w:val="auto"/>
          <w:highlight w:val="none"/>
        </w:rPr>
        <w:t>型号</w:t>
      </w:r>
      <w:r>
        <w:rPr>
          <w:rFonts w:ascii="Times New Roman" w:hAnsi="Times New Roman"/>
          <w:color w:val="auto"/>
          <w:highlight w:val="none"/>
        </w:rPr>
        <w:t>数量供应需求表</w:t>
      </w:r>
      <w:bookmarkEnd w:id="69"/>
      <w:bookmarkEnd w:id="70"/>
    </w:p>
    <w:p>
      <w:pPr>
        <w:pStyle w:val="20"/>
        <w:adjustRightInd w:val="0"/>
        <w:snapToGrid w:val="0"/>
        <w:spacing w:before="0" w:after="0" w:line="400" w:lineRule="exact"/>
        <w:ind w:firstLine="177" w:firstLineChars="98"/>
        <w:jc w:val="left"/>
        <w:outlineLvl w:val="9"/>
        <w:rPr>
          <w:rFonts w:hint="eastAsia"/>
          <w:color w:val="auto"/>
          <w:kern w:val="0"/>
          <w:szCs w:val="28"/>
          <w:highlight w:val="none"/>
        </w:rPr>
      </w:pPr>
      <w:r>
        <w:rPr>
          <w:rFonts w:ascii="Times New Roman" w:hAnsi="Times New Roman"/>
          <w:color w:val="auto"/>
          <w:sz w:val="18"/>
          <w:szCs w:val="18"/>
          <w:highlight w:val="none"/>
        </w:rPr>
        <w:t xml:space="preserve">             </w:t>
      </w:r>
    </w:p>
    <w:tbl>
      <w:tblPr>
        <w:tblStyle w:val="24"/>
        <w:tblW w:w="9214" w:type="dxa"/>
        <w:jc w:val="center"/>
        <w:tblLayout w:type="fixed"/>
        <w:tblCellMar>
          <w:top w:w="0" w:type="dxa"/>
          <w:left w:w="108" w:type="dxa"/>
          <w:bottom w:w="0" w:type="dxa"/>
          <w:right w:w="108" w:type="dxa"/>
        </w:tblCellMar>
      </w:tblPr>
      <w:tblGrid>
        <w:gridCol w:w="587"/>
        <w:gridCol w:w="516"/>
        <w:gridCol w:w="529"/>
        <w:gridCol w:w="521"/>
        <w:gridCol w:w="1021"/>
        <w:gridCol w:w="1050"/>
        <w:gridCol w:w="707"/>
        <w:gridCol w:w="1221"/>
        <w:gridCol w:w="2545"/>
        <w:gridCol w:w="517"/>
      </w:tblGrid>
      <w:tr>
        <w:tblPrEx>
          <w:tblCellMar>
            <w:top w:w="0" w:type="dxa"/>
            <w:left w:w="108" w:type="dxa"/>
            <w:bottom w:w="0" w:type="dxa"/>
            <w:right w:w="108" w:type="dxa"/>
          </w:tblCellMar>
        </w:tblPrEx>
        <w:trPr>
          <w:trHeight w:val="121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b/>
                <w:color w:val="auto"/>
                <w:kern w:val="0"/>
                <w:sz w:val="21"/>
                <w:szCs w:val="21"/>
                <w:highlight w:val="none"/>
              </w:rPr>
            </w:pPr>
            <w:r>
              <w:rPr>
                <w:b/>
                <w:color w:val="auto"/>
                <w:kern w:val="0"/>
                <w:sz w:val="21"/>
                <w:szCs w:val="21"/>
                <w:highlight w:val="none"/>
              </w:rPr>
              <w:t>序号</w:t>
            </w:r>
          </w:p>
        </w:tc>
        <w:tc>
          <w:tcPr>
            <w:tcW w:w="1045" w:type="dxa"/>
            <w:gridSpan w:val="2"/>
            <w:tcBorders>
              <w:top w:val="single" w:color="000000" w:sz="4" w:space="0"/>
              <w:left w:val="nil"/>
              <w:bottom w:val="single" w:color="000000" w:sz="4" w:space="0"/>
              <w:right w:val="single" w:color="000000" w:sz="4" w:space="0"/>
            </w:tcBorders>
            <w:shd w:val="clear" w:color="auto" w:fill="FFFFFF"/>
            <w:vAlign w:val="center"/>
          </w:tcPr>
          <w:p>
            <w:pPr>
              <w:widowControl/>
              <w:jc w:val="center"/>
              <w:rPr>
                <w:b/>
                <w:color w:val="auto"/>
                <w:kern w:val="0"/>
                <w:sz w:val="21"/>
                <w:szCs w:val="21"/>
                <w:highlight w:val="none"/>
              </w:rPr>
            </w:pPr>
            <w:r>
              <w:rPr>
                <w:rFonts w:hint="eastAsia"/>
                <w:b/>
                <w:color w:val="auto"/>
                <w:kern w:val="0"/>
                <w:sz w:val="21"/>
                <w:szCs w:val="21"/>
                <w:highlight w:val="none"/>
              </w:rPr>
              <w:t>货物名称</w:t>
            </w:r>
          </w:p>
        </w:tc>
        <w:tc>
          <w:tcPr>
            <w:tcW w:w="52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b/>
                <w:color w:val="auto"/>
                <w:kern w:val="0"/>
                <w:sz w:val="21"/>
                <w:szCs w:val="21"/>
                <w:highlight w:val="none"/>
              </w:rPr>
            </w:pPr>
            <w:r>
              <w:rPr>
                <w:b/>
                <w:color w:val="auto"/>
                <w:kern w:val="0"/>
                <w:sz w:val="21"/>
                <w:szCs w:val="21"/>
                <w:highlight w:val="none"/>
              </w:rPr>
              <w:t>数量</w:t>
            </w:r>
          </w:p>
        </w:tc>
        <w:tc>
          <w:tcPr>
            <w:tcW w:w="1021"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Times New Roman" w:hAnsi="Times New Roman"/>
                <w:b/>
                <w:color w:val="auto"/>
                <w:kern w:val="0"/>
                <w:sz w:val="21"/>
                <w:szCs w:val="21"/>
                <w:highlight w:val="none"/>
              </w:rPr>
            </w:pPr>
            <w:r>
              <w:rPr>
                <w:rFonts w:hint="eastAsia" w:ascii="Times New Roman" w:hAnsi="Times New Roman"/>
                <w:b/>
                <w:color w:val="auto"/>
                <w:kern w:val="0"/>
                <w:sz w:val="21"/>
                <w:szCs w:val="21"/>
                <w:highlight w:val="none"/>
              </w:rPr>
              <w:t>中标</w:t>
            </w:r>
          </w:p>
          <w:p>
            <w:pPr>
              <w:widowControl/>
              <w:jc w:val="center"/>
              <w:rPr>
                <w:rFonts w:ascii="Times New Roman" w:hAnsi="Times New Roman"/>
                <w:b/>
                <w:color w:val="auto"/>
                <w:kern w:val="0"/>
                <w:sz w:val="21"/>
                <w:szCs w:val="21"/>
                <w:highlight w:val="none"/>
              </w:rPr>
            </w:pPr>
            <w:r>
              <w:rPr>
                <w:rFonts w:hint="eastAsia" w:ascii="Times New Roman" w:hAnsi="Times New Roman"/>
                <w:b/>
                <w:color w:val="auto"/>
                <w:kern w:val="0"/>
                <w:sz w:val="21"/>
                <w:szCs w:val="21"/>
                <w:highlight w:val="none"/>
              </w:rPr>
              <w:t>单价</w:t>
            </w:r>
          </w:p>
          <w:p>
            <w:pPr>
              <w:widowControl/>
              <w:jc w:val="center"/>
              <w:rPr>
                <w:color w:val="auto"/>
                <w:sz w:val="21"/>
                <w:szCs w:val="21"/>
                <w:highlight w:val="none"/>
              </w:rPr>
            </w:pPr>
            <w:r>
              <w:rPr>
                <w:rFonts w:hint="eastAsia" w:ascii="Times New Roman" w:hAnsi="Times New Roman"/>
                <w:b/>
                <w:color w:val="auto"/>
                <w:kern w:val="0"/>
                <w:sz w:val="21"/>
                <w:szCs w:val="21"/>
                <w:highlight w:val="none"/>
              </w:rPr>
              <w:t>（万元）</w:t>
            </w:r>
          </w:p>
        </w:tc>
        <w:tc>
          <w:tcPr>
            <w:tcW w:w="1050"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Times New Roman" w:hAnsi="Times New Roman"/>
                <w:b/>
                <w:color w:val="auto"/>
                <w:kern w:val="0"/>
                <w:sz w:val="21"/>
                <w:szCs w:val="21"/>
                <w:highlight w:val="none"/>
              </w:rPr>
            </w:pPr>
            <w:r>
              <w:rPr>
                <w:rFonts w:hint="eastAsia" w:ascii="Times New Roman" w:hAnsi="Times New Roman"/>
                <w:b/>
                <w:color w:val="auto"/>
                <w:kern w:val="0"/>
                <w:sz w:val="21"/>
                <w:szCs w:val="21"/>
                <w:highlight w:val="none"/>
              </w:rPr>
              <w:t>中标</w:t>
            </w:r>
          </w:p>
          <w:p>
            <w:pPr>
              <w:widowControl/>
              <w:jc w:val="center"/>
              <w:rPr>
                <w:rFonts w:ascii="Times New Roman" w:hAnsi="Times New Roman"/>
                <w:b/>
                <w:color w:val="auto"/>
                <w:kern w:val="0"/>
                <w:sz w:val="21"/>
                <w:szCs w:val="21"/>
                <w:highlight w:val="none"/>
              </w:rPr>
            </w:pPr>
            <w:r>
              <w:rPr>
                <w:rFonts w:hint="eastAsia" w:ascii="Times New Roman" w:hAnsi="Times New Roman"/>
                <w:b/>
                <w:color w:val="auto"/>
                <w:kern w:val="0"/>
                <w:sz w:val="21"/>
                <w:szCs w:val="21"/>
                <w:highlight w:val="none"/>
              </w:rPr>
              <w:t>总价</w:t>
            </w:r>
          </w:p>
          <w:p>
            <w:pPr>
              <w:widowControl/>
              <w:jc w:val="center"/>
              <w:rPr>
                <w:color w:val="auto"/>
                <w:sz w:val="21"/>
                <w:szCs w:val="21"/>
                <w:highlight w:val="none"/>
              </w:rPr>
            </w:pPr>
            <w:r>
              <w:rPr>
                <w:rFonts w:hint="eastAsia" w:ascii="Times New Roman" w:hAnsi="Times New Roman"/>
                <w:b/>
                <w:color w:val="auto"/>
                <w:kern w:val="0"/>
                <w:sz w:val="21"/>
                <w:szCs w:val="21"/>
                <w:highlight w:val="none"/>
              </w:rPr>
              <w:t>（万元）</w:t>
            </w:r>
          </w:p>
        </w:tc>
        <w:tc>
          <w:tcPr>
            <w:tcW w:w="707"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b/>
                <w:color w:val="auto"/>
                <w:kern w:val="0"/>
                <w:sz w:val="21"/>
                <w:szCs w:val="21"/>
                <w:highlight w:val="none"/>
              </w:rPr>
            </w:pPr>
            <w:r>
              <w:rPr>
                <w:rFonts w:hint="eastAsia"/>
                <w:b/>
                <w:color w:val="auto"/>
                <w:kern w:val="0"/>
                <w:sz w:val="21"/>
                <w:szCs w:val="21"/>
                <w:highlight w:val="none"/>
              </w:rPr>
              <w:t>所属</w:t>
            </w:r>
          </w:p>
          <w:p>
            <w:pPr>
              <w:jc w:val="center"/>
              <w:rPr>
                <w:b/>
                <w:color w:val="auto"/>
                <w:kern w:val="0"/>
                <w:sz w:val="21"/>
                <w:szCs w:val="21"/>
                <w:highlight w:val="none"/>
              </w:rPr>
            </w:pPr>
            <w:r>
              <w:rPr>
                <w:rFonts w:hint="eastAsia"/>
                <w:b/>
                <w:color w:val="auto"/>
                <w:kern w:val="0"/>
                <w:sz w:val="21"/>
                <w:szCs w:val="21"/>
                <w:highlight w:val="none"/>
              </w:rPr>
              <w:t>支队</w:t>
            </w:r>
          </w:p>
        </w:tc>
        <w:tc>
          <w:tcPr>
            <w:tcW w:w="1221"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b/>
                <w:color w:val="auto"/>
                <w:kern w:val="0"/>
                <w:sz w:val="21"/>
                <w:szCs w:val="21"/>
                <w:highlight w:val="none"/>
              </w:rPr>
            </w:pPr>
            <w:r>
              <w:rPr>
                <w:rFonts w:hint="eastAsia"/>
                <w:b/>
                <w:color w:val="auto"/>
                <w:kern w:val="0"/>
                <w:sz w:val="21"/>
                <w:szCs w:val="21"/>
                <w:highlight w:val="none"/>
              </w:rPr>
              <w:t>支队联系人及联系方式</w:t>
            </w:r>
          </w:p>
        </w:tc>
        <w:tc>
          <w:tcPr>
            <w:tcW w:w="2545"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b/>
                <w:color w:val="auto"/>
                <w:kern w:val="0"/>
                <w:sz w:val="21"/>
                <w:szCs w:val="21"/>
                <w:highlight w:val="none"/>
              </w:rPr>
            </w:pPr>
            <w:r>
              <w:rPr>
                <w:rFonts w:hint="eastAsia"/>
                <w:b/>
                <w:color w:val="auto"/>
                <w:kern w:val="0"/>
                <w:sz w:val="21"/>
                <w:szCs w:val="21"/>
                <w:highlight w:val="none"/>
              </w:rPr>
              <w:t>支队收货地址</w:t>
            </w:r>
          </w:p>
        </w:tc>
        <w:tc>
          <w:tcPr>
            <w:tcW w:w="517"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b/>
                <w:color w:val="auto"/>
                <w:kern w:val="0"/>
                <w:sz w:val="21"/>
                <w:szCs w:val="21"/>
                <w:highlight w:val="none"/>
              </w:rPr>
            </w:pPr>
            <w:r>
              <w:rPr>
                <w:rFonts w:hint="eastAsia"/>
                <w:b/>
                <w:color w:val="auto"/>
                <w:kern w:val="0"/>
                <w:sz w:val="21"/>
                <w:szCs w:val="21"/>
                <w:highlight w:val="none"/>
              </w:rPr>
              <w:t>备注</w:t>
            </w: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616"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61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r>
              <w:rPr>
                <w:rFonts w:hint="eastAsia"/>
                <w:color w:val="auto"/>
                <w:kern w:val="0"/>
                <w:sz w:val="21"/>
                <w:szCs w:val="21"/>
                <w:highlight w:val="none"/>
              </w:rPr>
              <w:t>合计</w:t>
            </w: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bottom"/>
          </w:tcPr>
          <w:p>
            <w:pPr>
              <w:widowControl/>
              <w:jc w:val="center"/>
              <w:rPr>
                <w:color w:val="auto"/>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bottom"/>
          </w:tcPr>
          <w:p>
            <w:pPr>
              <w:widowControl/>
              <w:jc w:val="center"/>
              <w:rPr>
                <w:color w:val="auto"/>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560" w:hRule="atLeast"/>
          <w:jc w:val="center"/>
        </w:trPr>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color w:val="auto"/>
                <w:sz w:val="21"/>
                <w:szCs w:val="21"/>
                <w:highlight w:val="none"/>
              </w:rPr>
            </w:pPr>
            <w:r>
              <w:rPr>
                <w:color w:val="auto"/>
                <w:kern w:val="0"/>
                <w:sz w:val="21"/>
                <w:szCs w:val="21"/>
                <w:highlight w:val="none"/>
              </w:rPr>
              <w:t>备注</w:t>
            </w: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color w:val="auto"/>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color w:val="auto"/>
                <w:kern w:val="0"/>
                <w:sz w:val="21"/>
                <w:szCs w:val="21"/>
                <w:highlight w:val="none"/>
              </w:rPr>
            </w:pPr>
            <w:r>
              <w:rPr>
                <w:color w:val="auto"/>
                <w:kern w:val="0"/>
                <w:sz w:val="21"/>
                <w:szCs w:val="21"/>
                <w:highlight w:val="none"/>
              </w:rPr>
              <w:t>1.此表由甲方填写后，将盖章的彩色扫描件和电子版发至乙方指定邮箱。</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color w:val="auto"/>
                <w:kern w:val="0"/>
                <w:sz w:val="21"/>
                <w:szCs w:val="21"/>
                <w:highlight w:val="none"/>
              </w:rPr>
            </w:pPr>
          </w:p>
        </w:tc>
      </w:tr>
      <w:tr>
        <w:tblPrEx>
          <w:tblCellMar>
            <w:top w:w="0" w:type="dxa"/>
            <w:left w:w="108" w:type="dxa"/>
            <w:bottom w:w="0" w:type="dxa"/>
            <w:right w:w="108" w:type="dxa"/>
          </w:tblCellMar>
        </w:tblPrEx>
        <w:trPr>
          <w:trHeight w:val="520"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color w:val="auto"/>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color w:val="auto"/>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color w:val="auto"/>
                <w:kern w:val="0"/>
                <w:sz w:val="21"/>
                <w:szCs w:val="21"/>
                <w:highlight w:val="none"/>
              </w:rPr>
            </w:pPr>
            <w:r>
              <w:rPr>
                <w:color w:val="auto"/>
                <w:kern w:val="0"/>
                <w:sz w:val="21"/>
                <w:szCs w:val="21"/>
                <w:highlight w:val="none"/>
              </w:rPr>
              <w:t>2.乙方严格按照</w:t>
            </w:r>
            <w:r>
              <w:rPr>
                <w:rFonts w:hint="eastAsia"/>
                <w:color w:val="auto"/>
                <w:kern w:val="0"/>
                <w:sz w:val="21"/>
                <w:szCs w:val="21"/>
                <w:highlight w:val="none"/>
              </w:rPr>
              <w:t>需</w:t>
            </w:r>
            <w:r>
              <w:rPr>
                <w:color w:val="auto"/>
                <w:kern w:val="0"/>
                <w:sz w:val="21"/>
                <w:szCs w:val="21"/>
                <w:highlight w:val="none"/>
              </w:rPr>
              <w:t>方提出的号型进行生产和供货。乙方不按此供货时，甲方有权拒收。</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color w:val="auto"/>
                <w:kern w:val="0"/>
                <w:sz w:val="21"/>
                <w:szCs w:val="21"/>
                <w:highlight w:val="none"/>
              </w:rPr>
            </w:pPr>
          </w:p>
        </w:tc>
      </w:tr>
      <w:tr>
        <w:tblPrEx>
          <w:tblCellMar>
            <w:top w:w="0" w:type="dxa"/>
            <w:left w:w="108" w:type="dxa"/>
            <w:bottom w:w="0" w:type="dxa"/>
            <w:right w:w="108" w:type="dxa"/>
          </w:tblCellMar>
        </w:tblPrEx>
        <w:trPr>
          <w:trHeight w:val="797"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color w:val="auto"/>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color w:val="auto"/>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color w:val="auto"/>
                <w:kern w:val="0"/>
                <w:sz w:val="21"/>
                <w:szCs w:val="21"/>
                <w:highlight w:val="none"/>
              </w:rPr>
            </w:pPr>
            <w:r>
              <w:rPr>
                <w:rFonts w:hint="eastAsia"/>
                <w:color w:val="auto"/>
                <w:kern w:val="0"/>
                <w:sz w:val="21"/>
                <w:szCs w:val="21"/>
                <w:highlight w:val="none"/>
              </w:rPr>
              <w:t>3</w:t>
            </w:r>
            <w:r>
              <w:rPr>
                <w:color w:val="auto"/>
                <w:kern w:val="0"/>
                <w:sz w:val="21"/>
                <w:szCs w:val="21"/>
                <w:highlight w:val="none"/>
              </w:rPr>
              <w:t>.甲方所属各</w:t>
            </w:r>
            <w:r>
              <w:rPr>
                <w:rFonts w:hint="eastAsia"/>
                <w:color w:val="auto"/>
                <w:kern w:val="0"/>
                <w:sz w:val="21"/>
                <w:szCs w:val="21"/>
                <w:highlight w:val="none"/>
              </w:rPr>
              <w:t>支</w:t>
            </w:r>
            <w:r>
              <w:rPr>
                <w:color w:val="auto"/>
                <w:kern w:val="0"/>
                <w:sz w:val="21"/>
                <w:szCs w:val="21"/>
                <w:highlight w:val="none"/>
              </w:rPr>
              <w:t>队如对具体号型和数量有调整，乙方在确保总数量不变的前提下，乙方与甲方所属各</w:t>
            </w:r>
            <w:r>
              <w:rPr>
                <w:rFonts w:hint="eastAsia"/>
                <w:color w:val="auto"/>
                <w:kern w:val="0"/>
                <w:sz w:val="21"/>
                <w:szCs w:val="21"/>
                <w:highlight w:val="none"/>
              </w:rPr>
              <w:t>支</w:t>
            </w:r>
            <w:r>
              <w:rPr>
                <w:color w:val="auto"/>
                <w:kern w:val="0"/>
                <w:sz w:val="21"/>
                <w:szCs w:val="21"/>
                <w:highlight w:val="none"/>
              </w:rPr>
              <w:t>队协商解决。</w:t>
            </w:r>
            <w:r>
              <w:rPr>
                <w:b/>
                <w:color w:val="auto"/>
                <w:kern w:val="0"/>
                <w:sz w:val="21"/>
                <w:szCs w:val="21"/>
                <w:highlight w:val="none"/>
              </w:rPr>
              <w:t>此表数据有误时，甲方应在此表发乙方后10日予以变更。</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color w:val="auto"/>
                <w:kern w:val="0"/>
                <w:sz w:val="21"/>
                <w:szCs w:val="21"/>
                <w:highlight w:val="none"/>
              </w:rPr>
            </w:pPr>
          </w:p>
        </w:tc>
      </w:tr>
    </w:tbl>
    <w:p>
      <w:pPr>
        <w:pStyle w:val="20"/>
        <w:adjustRightInd w:val="0"/>
        <w:snapToGrid w:val="0"/>
        <w:spacing w:before="0" w:after="0" w:line="400" w:lineRule="exact"/>
        <w:ind w:firstLine="315" w:firstLineChars="98"/>
        <w:jc w:val="left"/>
        <w:outlineLvl w:val="9"/>
        <w:rPr>
          <w:rFonts w:hint="eastAsia"/>
          <w:color w:val="auto"/>
          <w:kern w:val="0"/>
          <w:szCs w:val="28"/>
          <w:highlight w:val="none"/>
        </w:rPr>
      </w:pPr>
    </w:p>
    <w:p>
      <w:pPr>
        <w:rPr>
          <w:color w:val="auto"/>
          <w:highlight w:val="none"/>
        </w:rPr>
      </w:pPr>
    </w:p>
    <w:p>
      <w:pPr>
        <w:rPr>
          <w:color w:val="auto"/>
          <w:kern w:val="0"/>
          <w:szCs w:val="28"/>
          <w:highlight w:val="none"/>
        </w:rPr>
      </w:pPr>
      <w:r>
        <w:rPr>
          <w:color w:val="auto"/>
          <w:kern w:val="0"/>
          <w:szCs w:val="28"/>
          <w:highlight w:val="none"/>
        </w:rPr>
        <w:br w:type="page"/>
      </w:r>
    </w:p>
    <w:p>
      <w:pPr>
        <w:adjustRightInd w:val="0"/>
        <w:snapToGrid w:val="0"/>
        <w:rPr>
          <w:color w:val="auto"/>
          <w:kern w:val="0"/>
          <w:sz w:val="28"/>
          <w:szCs w:val="28"/>
          <w:highlight w:val="none"/>
        </w:rPr>
      </w:pPr>
      <w:r>
        <w:rPr>
          <w:color w:val="auto"/>
          <w:kern w:val="0"/>
          <w:sz w:val="28"/>
          <w:szCs w:val="28"/>
          <w:highlight w:val="none"/>
        </w:rPr>
        <w:t>附件</w:t>
      </w:r>
      <w:r>
        <w:rPr>
          <w:rFonts w:hint="eastAsia"/>
          <w:color w:val="auto"/>
          <w:kern w:val="0"/>
          <w:sz w:val="28"/>
          <w:szCs w:val="28"/>
          <w:highlight w:val="none"/>
        </w:rPr>
        <w:t>三</w:t>
      </w:r>
    </w:p>
    <w:p>
      <w:pPr>
        <w:pStyle w:val="7"/>
        <w:spacing w:line="480" w:lineRule="exact"/>
        <w:ind w:firstLine="0" w:firstLineChars="0"/>
        <w:jc w:val="center"/>
        <w:rPr>
          <w:rFonts w:ascii="Times New Roman" w:hAnsi="Times New Roman"/>
          <w:b/>
          <w:color w:val="auto"/>
          <w:sz w:val="32"/>
          <w:szCs w:val="32"/>
          <w:highlight w:val="none"/>
        </w:rPr>
      </w:pPr>
      <w:r>
        <w:rPr>
          <w:rFonts w:hint="eastAsia" w:ascii="Times New Roman" w:hAnsi="Times New Roman"/>
          <w:b/>
          <w:color w:val="auto"/>
          <w:sz w:val="32"/>
          <w:szCs w:val="32"/>
          <w:highlight w:val="none"/>
        </w:rPr>
        <w:t>发货清单</w:t>
      </w:r>
    </w:p>
    <w:tbl>
      <w:tblPr>
        <w:tblStyle w:val="24"/>
        <w:tblW w:w="9294" w:type="dxa"/>
        <w:jc w:val="center"/>
        <w:tblLayout w:type="fixed"/>
        <w:tblCellMar>
          <w:top w:w="0" w:type="dxa"/>
          <w:left w:w="108" w:type="dxa"/>
          <w:bottom w:w="0" w:type="dxa"/>
          <w:right w:w="108" w:type="dxa"/>
        </w:tblCellMar>
      </w:tblPr>
      <w:tblGrid>
        <w:gridCol w:w="572"/>
        <w:gridCol w:w="1684"/>
        <w:gridCol w:w="1684"/>
        <w:gridCol w:w="851"/>
        <w:gridCol w:w="86"/>
        <w:gridCol w:w="2182"/>
        <w:gridCol w:w="2235"/>
      </w:tblGrid>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color w:val="auto"/>
                <w:kern w:val="0"/>
                <w:sz w:val="21"/>
                <w:szCs w:val="21"/>
                <w:highlight w:val="none"/>
              </w:rPr>
            </w:pPr>
            <w:r>
              <w:rPr>
                <w:rFonts w:hAnsi="宋体"/>
                <w:color w:val="auto"/>
                <w:kern w:val="0"/>
                <w:sz w:val="21"/>
                <w:szCs w:val="21"/>
                <w:highlight w:val="none"/>
              </w:rPr>
              <w:t>收物单位：</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rPr>
                <w:color w:val="auto"/>
                <w:kern w:val="0"/>
                <w:sz w:val="21"/>
                <w:szCs w:val="21"/>
                <w:highlight w:val="none"/>
              </w:rPr>
            </w:pPr>
            <w:r>
              <w:rPr>
                <w:rFonts w:hAnsi="宋体"/>
                <w:color w:val="auto"/>
                <w:kern w:val="0"/>
                <w:sz w:val="21"/>
                <w:szCs w:val="21"/>
                <w:highlight w:val="none"/>
              </w:rPr>
              <w:t>收物地址：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color w:val="auto"/>
                <w:kern w:val="0"/>
                <w:sz w:val="21"/>
                <w:szCs w:val="21"/>
                <w:highlight w:val="none"/>
              </w:rPr>
            </w:pPr>
            <w:r>
              <w:rPr>
                <w:rFonts w:hAnsi="宋体"/>
                <w:color w:val="auto"/>
                <w:kern w:val="0"/>
                <w:sz w:val="21"/>
                <w:szCs w:val="21"/>
                <w:highlight w:val="none"/>
              </w:rPr>
              <w:t>收物人：</w:t>
            </w:r>
            <w:r>
              <w:rPr>
                <w:rFonts w:hint="eastAsia" w:hAnsi="宋体"/>
                <w:color w:val="auto"/>
                <w:kern w:val="0"/>
                <w:sz w:val="21"/>
                <w:szCs w:val="21"/>
                <w:highlight w:val="none"/>
              </w:rPr>
              <w:t xml:space="preserve">                   </w:t>
            </w:r>
            <w:r>
              <w:rPr>
                <w:rFonts w:hAnsi="宋体"/>
                <w:color w:val="auto"/>
                <w:kern w:val="0"/>
                <w:sz w:val="21"/>
                <w:szCs w:val="21"/>
                <w:highlight w:val="none"/>
              </w:rPr>
              <w:t>手机：</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color w:val="auto"/>
                <w:kern w:val="0"/>
                <w:sz w:val="21"/>
                <w:szCs w:val="21"/>
                <w:highlight w:val="none"/>
              </w:rPr>
            </w:pPr>
            <w:r>
              <w:rPr>
                <w:rFonts w:hAnsi="宋体"/>
                <w:color w:val="auto"/>
                <w:kern w:val="0"/>
                <w:sz w:val="21"/>
                <w:szCs w:val="21"/>
                <w:highlight w:val="none"/>
              </w:rPr>
              <w:t>发物单位（盖章）：</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Ansi="宋体"/>
                <w:color w:val="auto"/>
                <w:kern w:val="0"/>
                <w:sz w:val="21"/>
                <w:szCs w:val="21"/>
                <w:highlight w:val="none"/>
              </w:rPr>
            </w:pP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color w:val="auto"/>
                <w:kern w:val="0"/>
                <w:sz w:val="21"/>
                <w:szCs w:val="21"/>
                <w:highlight w:val="none"/>
              </w:rPr>
            </w:pPr>
            <w:r>
              <w:rPr>
                <w:rFonts w:hAnsi="宋体"/>
                <w:color w:val="auto"/>
                <w:kern w:val="0"/>
                <w:sz w:val="21"/>
                <w:szCs w:val="21"/>
                <w:highlight w:val="none"/>
              </w:rPr>
              <w:t>发物地址：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color w:val="auto"/>
                <w:kern w:val="0"/>
                <w:sz w:val="21"/>
                <w:szCs w:val="21"/>
                <w:highlight w:val="none"/>
              </w:rPr>
            </w:pPr>
            <w:r>
              <w:rPr>
                <w:rFonts w:hAnsi="宋体"/>
                <w:color w:val="auto"/>
                <w:kern w:val="0"/>
                <w:sz w:val="21"/>
                <w:szCs w:val="21"/>
                <w:highlight w:val="none"/>
              </w:rPr>
              <w:t>发物人：</w:t>
            </w:r>
            <w:r>
              <w:rPr>
                <w:rFonts w:hint="eastAsia" w:hAnsi="宋体"/>
                <w:color w:val="auto"/>
                <w:kern w:val="0"/>
                <w:sz w:val="21"/>
                <w:szCs w:val="21"/>
                <w:highlight w:val="none"/>
              </w:rPr>
              <w:t xml:space="preserve">                   </w:t>
            </w:r>
            <w:r>
              <w:rPr>
                <w:rFonts w:hAnsi="宋体"/>
                <w:color w:val="auto"/>
                <w:kern w:val="0"/>
                <w:sz w:val="21"/>
                <w:szCs w:val="21"/>
                <w:highlight w:val="none"/>
              </w:rPr>
              <w:t>手机：</w:t>
            </w:r>
          </w:p>
        </w:tc>
      </w:tr>
      <w:tr>
        <w:tblPrEx>
          <w:tblCellMar>
            <w:top w:w="0" w:type="dxa"/>
            <w:left w:w="108" w:type="dxa"/>
            <w:bottom w:w="0" w:type="dxa"/>
            <w:right w:w="108" w:type="dxa"/>
          </w:tblCellMar>
        </w:tblPrEx>
        <w:trPr>
          <w:trHeight w:val="383" w:hRule="atLeast"/>
          <w:jc w:val="center"/>
        </w:trPr>
        <w:tc>
          <w:tcPr>
            <w:tcW w:w="5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b/>
                <w:color w:val="auto"/>
                <w:kern w:val="0"/>
                <w:sz w:val="21"/>
                <w:szCs w:val="21"/>
                <w:highlight w:val="none"/>
              </w:rPr>
            </w:pPr>
            <w:r>
              <w:rPr>
                <w:rFonts w:hAnsi="宋体"/>
                <w:b/>
                <w:color w:val="auto"/>
                <w:kern w:val="0"/>
                <w:sz w:val="21"/>
                <w:szCs w:val="21"/>
                <w:highlight w:val="none"/>
              </w:rPr>
              <w:t>序号</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b/>
                <w:color w:val="auto"/>
                <w:kern w:val="0"/>
                <w:sz w:val="21"/>
                <w:szCs w:val="21"/>
                <w:highlight w:val="none"/>
              </w:rPr>
            </w:pPr>
            <w:r>
              <w:rPr>
                <w:rFonts w:hAnsi="宋体"/>
                <w:b/>
                <w:color w:val="auto"/>
                <w:kern w:val="0"/>
                <w:sz w:val="21"/>
                <w:szCs w:val="21"/>
                <w:highlight w:val="none"/>
              </w:rPr>
              <w:t>品名</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b/>
                <w:color w:val="auto"/>
                <w:kern w:val="0"/>
                <w:sz w:val="21"/>
                <w:szCs w:val="21"/>
                <w:highlight w:val="none"/>
              </w:rPr>
            </w:pPr>
            <w:r>
              <w:rPr>
                <w:rFonts w:hint="eastAsia" w:hAnsi="宋体"/>
                <w:b/>
                <w:color w:val="auto"/>
                <w:kern w:val="0"/>
                <w:sz w:val="21"/>
                <w:szCs w:val="21"/>
                <w:highlight w:val="none"/>
              </w:rPr>
              <w:t>型号</w:t>
            </w:r>
          </w:p>
        </w:tc>
        <w:tc>
          <w:tcPr>
            <w:tcW w:w="85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b/>
                <w:color w:val="auto"/>
                <w:kern w:val="0"/>
                <w:sz w:val="21"/>
                <w:szCs w:val="21"/>
                <w:highlight w:val="none"/>
              </w:rPr>
            </w:pPr>
            <w:r>
              <w:rPr>
                <w:rFonts w:hAnsi="宋体"/>
                <w:b/>
                <w:color w:val="auto"/>
                <w:kern w:val="0"/>
                <w:sz w:val="21"/>
                <w:szCs w:val="21"/>
                <w:highlight w:val="none"/>
              </w:rPr>
              <w:t>计量</w:t>
            </w:r>
          </w:p>
          <w:p>
            <w:pPr>
              <w:widowControl/>
              <w:jc w:val="center"/>
              <w:rPr>
                <w:b/>
                <w:color w:val="auto"/>
                <w:kern w:val="0"/>
                <w:sz w:val="21"/>
                <w:szCs w:val="21"/>
                <w:highlight w:val="none"/>
              </w:rPr>
            </w:pPr>
            <w:r>
              <w:rPr>
                <w:rFonts w:hAnsi="宋体"/>
                <w:b/>
                <w:color w:val="auto"/>
                <w:kern w:val="0"/>
                <w:sz w:val="21"/>
                <w:szCs w:val="21"/>
                <w:highlight w:val="none"/>
              </w:rPr>
              <w:t>单位</w:t>
            </w:r>
          </w:p>
        </w:tc>
        <w:tc>
          <w:tcPr>
            <w:tcW w:w="2268" w:type="dxa"/>
            <w:gridSpan w:val="2"/>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b/>
                <w:color w:val="auto"/>
                <w:kern w:val="0"/>
                <w:sz w:val="21"/>
                <w:szCs w:val="21"/>
                <w:highlight w:val="none"/>
              </w:rPr>
            </w:pPr>
            <w:r>
              <w:rPr>
                <w:rFonts w:hAnsi="宋体"/>
                <w:b/>
                <w:color w:val="auto"/>
                <w:kern w:val="0"/>
                <w:sz w:val="21"/>
                <w:szCs w:val="21"/>
                <w:highlight w:val="none"/>
              </w:rPr>
              <w:t>合同约定交货数量</w:t>
            </w:r>
          </w:p>
          <w:p>
            <w:pPr>
              <w:jc w:val="center"/>
              <w:rPr>
                <w:color w:val="auto"/>
                <w:sz w:val="21"/>
                <w:szCs w:val="21"/>
                <w:highlight w:val="none"/>
              </w:rPr>
            </w:pPr>
            <w:r>
              <w:rPr>
                <w:rFonts w:hAnsi="宋体"/>
                <w:b/>
                <w:color w:val="auto"/>
                <w:kern w:val="0"/>
                <w:sz w:val="21"/>
                <w:szCs w:val="21"/>
                <w:highlight w:val="none"/>
              </w:rPr>
              <w:t>（由发物单位填写）</w:t>
            </w:r>
          </w:p>
        </w:tc>
        <w:tc>
          <w:tcPr>
            <w:tcW w:w="2235"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b/>
                <w:color w:val="auto"/>
                <w:kern w:val="0"/>
                <w:sz w:val="21"/>
                <w:szCs w:val="21"/>
                <w:highlight w:val="none"/>
              </w:rPr>
            </w:pPr>
            <w:r>
              <w:rPr>
                <w:rFonts w:hAnsi="宋体"/>
                <w:b/>
                <w:color w:val="auto"/>
                <w:kern w:val="0"/>
                <w:sz w:val="21"/>
                <w:szCs w:val="21"/>
                <w:highlight w:val="none"/>
              </w:rPr>
              <w:t>本次交货和到货数量</w:t>
            </w:r>
          </w:p>
          <w:p>
            <w:pPr>
              <w:jc w:val="center"/>
              <w:rPr>
                <w:color w:val="auto"/>
                <w:sz w:val="21"/>
                <w:szCs w:val="21"/>
                <w:highlight w:val="none"/>
              </w:rPr>
            </w:pPr>
            <w:r>
              <w:rPr>
                <w:rFonts w:hAnsi="宋体"/>
                <w:b/>
                <w:color w:val="auto"/>
                <w:kern w:val="0"/>
                <w:sz w:val="21"/>
                <w:szCs w:val="21"/>
                <w:highlight w:val="none"/>
              </w:rPr>
              <w:t>（由发物单位填写）</w:t>
            </w: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r>
              <w:rPr>
                <w:color w:val="auto"/>
                <w:kern w:val="0"/>
                <w:sz w:val="21"/>
                <w:szCs w:val="21"/>
                <w:highlight w:val="none"/>
              </w:rPr>
              <w:t>1</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r>
              <w:rPr>
                <w:color w:val="auto"/>
                <w:kern w:val="0"/>
                <w:sz w:val="21"/>
                <w:szCs w:val="21"/>
                <w:highlight w:val="none"/>
              </w:rPr>
              <w:t>2</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r>
              <w:rPr>
                <w:color w:val="auto"/>
                <w:kern w:val="0"/>
                <w:sz w:val="21"/>
                <w:szCs w:val="21"/>
                <w:highlight w:val="none"/>
              </w:rPr>
              <w:t>3</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r>
              <w:rPr>
                <w:color w:val="auto"/>
                <w:kern w:val="0"/>
                <w:sz w:val="21"/>
                <w:szCs w:val="21"/>
                <w:highlight w:val="none"/>
              </w:rPr>
              <w:t>4</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r>
              <w:rPr>
                <w:color w:val="auto"/>
                <w:kern w:val="0"/>
                <w:sz w:val="21"/>
                <w:szCs w:val="21"/>
                <w:highlight w:val="none"/>
              </w:rPr>
              <w:t>5</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vMerge w:val="restart"/>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r>
              <w:rPr>
                <w:rFonts w:hAnsi="宋体"/>
                <w:color w:val="auto"/>
                <w:kern w:val="0"/>
                <w:sz w:val="21"/>
                <w:szCs w:val="21"/>
                <w:highlight w:val="none"/>
              </w:rPr>
              <w:t>备注</w:t>
            </w: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color w:val="auto"/>
                <w:kern w:val="0"/>
                <w:sz w:val="21"/>
                <w:szCs w:val="21"/>
                <w:highlight w:val="none"/>
              </w:rPr>
            </w:pPr>
            <w:r>
              <w:rPr>
                <w:color w:val="auto"/>
                <w:kern w:val="0"/>
                <w:sz w:val="21"/>
                <w:szCs w:val="21"/>
                <w:highlight w:val="none"/>
              </w:rPr>
              <w:t>1</w:t>
            </w:r>
            <w:r>
              <w:rPr>
                <w:rFonts w:hint="eastAsia"/>
                <w:color w:val="auto"/>
                <w:kern w:val="0"/>
                <w:sz w:val="21"/>
                <w:szCs w:val="21"/>
                <w:highlight w:val="none"/>
              </w:rPr>
              <w:t>.</w:t>
            </w:r>
            <w:r>
              <w:rPr>
                <w:rFonts w:hAnsi="宋体"/>
                <w:color w:val="auto"/>
                <w:kern w:val="0"/>
                <w:sz w:val="21"/>
                <w:szCs w:val="21"/>
                <w:highlight w:val="none"/>
              </w:rPr>
              <w:t>收货单位对照此清单，确认货物包装完好、品名、数量、号型准确无误后，收货单位方可盖章、签字。</w:t>
            </w:r>
          </w:p>
        </w:tc>
      </w:tr>
      <w:tr>
        <w:tblPrEx>
          <w:tblCellMar>
            <w:top w:w="0" w:type="dxa"/>
            <w:left w:w="108" w:type="dxa"/>
            <w:bottom w:w="0" w:type="dxa"/>
            <w:right w:w="108" w:type="dxa"/>
          </w:tblCellMar>
        </w:tblPrEx>
        <w:trPr>
          <w:trHeight w:val="328"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color w:val="auto"/>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color w:val="auto"/>
                <w:kern w:val="0"/>
                <w:sz w:val="21"/>
                <w:szCs w:val="21"/>
                <w:highlight w:val="none"/>
              </w:rPr>
            </w:pPr>
            <w:r>
              <w:rPr>
                <w:color w:val="auto"/>
                <w:kern w:val="0"/>
                <w:sz w:val="21"/>
                <w:szCs w:val="21"/>
                <w:highlight w:val="none"/>
              </w:rPr>
              <w:t>2</w:t>
            </w:r>
            <w:r>
              <w:rPr>
                <w:rFonts w:hint="eastAsia"/>
                <w:color w:val="auto"/>
                <w:kern w:val="0"/>
                <w:sz w:val="21"/>
                <w:szCs w:val="21"/>
                <w:highlight w:val="none"/>
              </w:rPr>
              <w:t>.</w:t>
            </w:r>
            <w:r>
              <w:rPr>
                <w:rFonts w:hAnsi="宋体"/>
                <w:color w:val="auto"/>
                <w:kern w:val="0"/>
                <w:sz w:val="21"/>
                <w:szCs w:val="21"/>
                <w:highlight w:val="none"/>
              </w:rPr>
              <w:t>本交货清单一式三份，接收单位留存一份，发货单位留存二份（一份交</w:t>
            </w:r>
            <w:r>
              <w:rPr>
                <w:rFonts w:hint="eastAsia" w:hAnsi="宋体"/>
                <w:color w:val="auto"/>
                <w:kern w:val="0"/>
                <w:sz w:val="21"/>
                <w:szCs w:val="21"/>
                <w:highlight w:val="none"/>
              </w:rPr>
              <w:t>吉林省消防救援总队</w:t>
            </w:r>
            <w:r>
              <w:rPr>
                <w:rFonts w:hAnsi="宋体"/>
                <w:color w:val="auto"/>
                <w:kern w:val="0"/>
                <w:sz w:val="21"/>
                <w:szCs w:val="21"/>
                <w:highlight w:val="none"/>
              </w:rPr>
              <w:t>）。</w:t>
            </w:r>
          </w:p>
        </w:tc>
      </w:tr>
      <w:tr>
        <w:tblPrEx>
          <w:tblCellMar>
            <w:top w:w="0" w:type="dxa"/>
            <w:left w:w="108" w:type="dxa"/>
            <w:bottom w:w="0" w:type="dxa"/>
            <w:right w:w="108" w:type="dxa"/>
          </w:tblCellMar>
        </w:tblPrEx>
        <w:trPr>
          <w:trHeight w:val="504"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color w:val="auto"/>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color w:val="auto"/>
                <w:kern w:val="0"/>
                <w:sz w:val="21"/>
                <w:szCs w:val="21"/>
                <w:highlight w:val="none"/>
              </w:rPr>
            </w:pPr>
            <w:r>
              <w:rPr>
                <w:color w:val="auto"/>
                <w:kern w:val="0"/>
                <w:sz w:val="21"/>
                <w:szCs w:val="21"/>
                <w:highlight w:val="none"/>
              </w:rPr>
              <w:t>3</w:t>
            </w:r>
            <w:r>
              <w:rPr>
                <w:rFonts w:hint="eastAsia"/>
                <w:color w:val="auto"/>
                <w:kern w:val="0"/>
                <w:sz w:val="21"/>
                <w:szCs w:val="21"/>
                <w:highlight w:val="none"/>
              </w:rPr>
              <w:t>.</w:t>
            </w:r>
            <w:r>
              <w:rPr>
                <w:rFonts w:hAnsi="宋体"/>
                <w:color w:val="auto"/>
                <w:kern w:val="0"/>
                <w:sz w:val="21"/>
                <w:szCs w:val="21"/>
                <w:highlight w:val="none"/>
              </w:rPr>
              <w:t>确认收货和盖章、签字后，收货单位将此清单的彩色扫描件发至发货厂家邮箱：</w:t>
            </w:r>
            <w:r>
              <w:rPr>
                <w:rFonts w:hint="eastAsia"/>
                <w:color w:val="auto"/>
                <w:kern w:val="0"/>
                <w:sz w:val="21"/>
                <w:szCs w:val="21"/>
                <w:highlight w:val="none"/>
              </w:rPr>
              <w:t xml:space="preserve"> </w:t>
            </w:r>
          </w:p>
        </w:tc>
      </w:tr>
      <w:tr>
        <w:tblPrEx>
          <w:tblCellMar>
            <w:top w:w="0" w:type="dxa"/>
            <w:left w:w="108" w:type="dxa"/>
            <w:bottom w:w="0" w:type="dxa"/>
            <w:right w:w="108" w:type="dxa"/>
          </w:tblCellMar>
        </w:tblPrEx>
        <w:trPr>
          <w:trHeight w:val="439" w:hRule="atLeast"/>
          <w:jc w:val="center"/>
        </w:trPr>
        <w:tc>
          <w:tcPr>
            <w:tcW w:w="9294" w:type="dxa"/>
            <w:gridSpan w:val="7"/>
            <w:tcBorders>
              <w:top w:val="single" w:color="000000" w:sz="4" w:space="0"/>
              <w:left w:val="nil"/>
              <w:bottom w:val="nil"/>
              <w:right w:val="nil"/>
            </w:tcBorders>
            <w:shd w:val="clear" w:color="auto" w:fill="FFFFFF"/>
            <w:vAlign w:val="center"/>
          </w:tcPr>
          <w:p>
            <w:pPr>
              <w:widowControl/>
              <w:jc w:val="left"/>
              <w:rPr>
                <w:color w:val="auto"/>
                <w:kern w:val="0"/>
                <w:sz w:val="21"/>
                <w:szCs w:val="21"/>
                <w:highlight w:val="none"/>
              </w:rPr>
            </w:pPr>
          </w:p>
        </w:tc>
      </w:tr>
      <w:tr>
        <w:tblPrEx>
          <w:tblCellMar>
            <w:top w:w="0" w:type="dxa"/>
            <w:left w:w="108" w:type="dxa"/>
            <w:bottom w:w="0" w:type="dxa"/>
            <w:right w:w="108" w:type="dxa"/>
          </w:tblCellMar>
        </w:tblPrEx>
        <w:trPr>
          <w:trHeight w:val="1018" w:hRule="atLeast"/>
          <w:jc w:val="center"/>
        </w:trPr>
        <w:tc>
          <w:tcPr>
            <w:tcW w:w="4877" w:type="dxa"/>
            <w:gridSpan w:val="5"/>
            <w:shd w:val="clear" w:color="auto" w:fill="FFFFFF"/>
            <w:vAlign w:val="center"/>
          </w:tcPr>
          <w:p>
            <w:pPr>
              <w:widowControl/>
              <w:jc w:val="left"/>
              <w:rPr>
                <w:rFonts w:hAnsi="宋体"/>
                <w:color w:val="auto"/>
                <w:kern w:val="0"/>
                <w:sz w:val="21"/>
                <w:szCs w:val="21"/>
                <w:highlight w:val="none"/>
              </w:rPr>
            </w:pPr>
            <w:r>
              <w:rPr>
                <w:rFonts w:hAnsi="宋体"/>
                <w:color w:val="auto"/>
                <w:kern w:val="0"/>
                <w:sz w:val="21"/>
                <w:szCs w:val="21"/>
                <w:highlight w:val="none"/>
              </w:rPr>
              <w:t>收货单位（盖章）：</w:t>
            </w:r>
          </w:p>
        </w:tc>
        <w:tc>
          <w:tcPr>
            <w:tcW w:w="4417" w:type="dxa"/>
            <w:gridSpan w:val="2"/>
            <w:shd w:val="clear" w:color="auto" w:fill="FFFFFF"/>
            <w:vAlign w:val="center"/>
          </w:tcPr>
          <w:p>
            <w:pPr>
              <w:widowControl/>
              <w:jc w:val="left"/>
              <w:rPr>
                <w:rFonts w:hAnsi="宋体"/>
                <w:color w:val="auto"/>
                <w:kern w:val="0"/>
                <w:sz w:val="21"/>
                <w:szCs w:val="21"/>
                <w:highlight w:val="none"/>
              </w:rPr>
            </w:pPr>
            <w:r>
              <w:rPr>
                <w:rFonts w:hAnsi="宋体"/>
                <w:color w:val="auto"/>
                <w:kern w:val="0"/>
                <w:sz w:val="21"/>
                <w:szCs w:val="21"/>
                <w:highlight w:val="none"/>
              </w:rPr>
              <w:t>签收人(双人签字)：</w:t>
            </w: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Ansi="宋体"/>
                <w:color w:val="auto"/>
                <w:kern w:val="0"/>
                <w:sz w:val="21"/>
                <w:szCs w:val="21"/>
                <w:highlight w:val="none"/>
              </w:rPr>
            </w:pP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Ansi="宋体"/>
                <w:color w:val="auto"/>
                <w:kern w:val="0"/>
                <w:sz w:val="21"/>
                <w:szCs w:val="21"/>
                <w:highlight w:val="none"/>
              </w:rPr>
            </w:pPr>
            <w:r>
              <w:rPr>
                <w:rFonts w:hAnsi="宋体"/>
                <w:color w:val="auto"/>
                <w:kern w:val="0"/>
                <w:sz w:val="21"/>
                <w:szCs w:val="21"/>
                <w:highlight w:val="none"/>
              </w:rPr>
              <w:t>签收时间：</w:t>
            </w:r>
            <w:r>
              <w:rPr>
                <w:rFonts w:hint="eastAsia" w:hAnsi="宋体"/>
                <w:color w:val="auto"/>
                <w:kern w:val="0"/>
                <w:sz w:val="21"/>
                <w:szCs w:val="21"/>
                <w:highlight w:val="none"/>
              </w:rPr>
              <w:t xml:space="preserve">    </w:t>
            </w:r>
            <w:r>
              <w:rPr>
                <w:rFonts w:hAnsi="宋体"/>
                <w:color w:val="auto"/>
                <w:kern w:val="0"/>
                <w:sz w:val="21"/>
                <w:szCs w:val="21"/>
                <w:highlight w:val="none"/>
              </w:rPr>
              <w:t>年</w:t>
            </w:r>
            <w:r>
              <w:rPr>
                <w:rFonts w:hint="eastAsia" w:hAnsi="宋体"/>
                <w:color w:val="auto"/>
                <w:kern w:val="0"/>
                <w:sz w:val="21"/>
                <w:szCs w:val="21"/>
                <w:highlight w:val="none"/>
              </w:rPr>
              <w:t xml:space="preserve">   </w:t>
            </w:r>
            <w:r>
              <w:rPr>
                <w:rFonts w:hAnsi="宋体"/>
                <w:color w:val="auto"/>
                <w:kern w:val="0"/>
                <w:sz w:val="21"/>
                <w:szCs w:val="21"/>
                <w:highlight w:val="none"/>
              </w:rPr>
              <w:t>月</w:t>
            </w:r>
            <w:r>
              <w:rPr>
                <w:rFonts w:hint="eastAsia" w:hAnsi="宋体"/>
                <w:color w:val="auto"/>
                <w:kern w:val="0"/>
                <w:sz w:val="21"/>
                <w:szCs w:val="21"/>
                <w:highlight w:val="none"/>
              </w:rPr>
              <w:t xml:space="preserve">   </w:t>
            </w:r>
            <w:r>
              <w:rPr>
                <w:rFonts w:hAnsi="宋体"/>
                <w:color w:val="auto"/>
                <w:kern w:val="0"/>
                <w:sz w:val="21"/>
                <w:szCs w:val="21"/>
                <w:highlight w:val="none"/>
              </w:rPr>
              <w:t>日</w:t>
            </w:r>
          </w:p>
        </w:tc>
      </w:tr>
    </w:tbl>
    <w:p>
      <w:pPr>
        <w:rPr>
          <w:rFonts w:ascii="宋体" w:hAnsi="宋体" w:cs="宋体"/>
          <w:color w:val="auto"/>
          <w:highlight w:val="none"/>
        </w:rPr>
      </w:pPr>
    </w:p>
    <w:p>
      <w:pPr>
        <w:rPr>
          <w:rFonts w:ascii="宋体" w:hAnsi="宋体" w:cs="宋体"/>
          <w:color w:val="auto"/>
          <w:highlight w:val="none"/>
        </w:rPr>
      </w:pPr>
      <w:r>
        <w:rPr>
          <w:rFonts w:hint="eastAsia" w:ascii="宋体" w:hAnsi="宋体" w:cs="宋体"/>
          <w:color w:val="auto"/>
          <w:highlight w:val="none"/>
        </w:rPr>
        <w:br w:type="page"/>
      </w:r>
    </w:p>
    <w:p>
      <w:pPr>
        <w:pStyle w:val="5"/>
        <w:spacing w:line="240" w:lineRule="auto"/>
        <w:jc w:val="center"/>
        <w:rPr>
          <w:rFonts w:hint="eastAsia" w:ascii="宋体" w:hAnsi="宋体" w:cs="宋体"/>
          <w:color w:val="auto"/>
          <w:highlight w:val="none"/>
        </w:rPr>
        <w:sectPr>
          <w:footerReference r:id="rId7" w:type="default"/>
          <w:pgSz w:w="11906" w:h="16838"/>
          <w:pgMar w:top="1361" w:right="1304" w:bottom="1247" w:left="1304" w:header="680" w:footer="680" w:gutter="0"/>
          <w:cols w:space="720" w:num="1"/>
          <w:docGrid w:linePitch="312" w:charSpace="0"/>
        </w:sectPr>
      </w:pPr>
    </w:p>
    <w:p>
      <w:pPr>
        <w:adjustRightInd w:val="0"/>
        <w:snapToGrid w:val="0"/>
        <w:rPr>
          <w:rFonts w:hint="eastAsia" w:ascii="宋体" w:hAnsi="宋体" w:eastAsia="宋体" w:cs="宋体"/>
          <w:color w:val="auto"/>
          <w:highlight w:val="none"/>
          <w:lang w:val="en-US" w:eastAsia="zh-CN"/>
        </w:rPr>
        <w:sectPr>
          <w:pgSz w:w="11906" w:h="16838"/>
          <w:pgMar w:top="1361" w:right="1304" w:bottom="1247" w:left="1304" w:header="680" w:footer="680" w:gutter="0"/>
          <w:cols w:space="720" w:num="1"/>
          <w:docGrid w:linePitch="312" w:charSpace="0"/>
        </w:sectPr>
      </w:pPr>
      <w:r>
        <w:rPr>
          <w:color w:val="auto"/>
          <w:kern w:val="0"/>
          <w:sz w:val="28"/>
          <w:szCs w:val="28"/>
          <w:highlight w:val="none"/>
        </w:rPr>
        <w:t>附件</w:t>
      </w:r>
      <w:r>
        <w:rPr>
          <w:rFonts w:hint="eastAsia"/>
          <w:color w:val="auto"/>
          <w:kern w:val="0"/>
          <w:sz w:val="28"/>
          <w:szCs w:val="28"/>
          <w:highlight w:val="none"/>
          <w:lang w:val="en-US" w:eastAsia="zh-CN"/>
        </w:rPr>
        <w:t>四、售后服务承诺书</w:t>
      </w:r>
    </w:p>
    <w:p>
      <w:pPr>
        <w:pStyle w:val="5"/>
        <w:spacing w:line="240" w:lineRule="auto"/>
        <w:jc w:val="center"/>
        <w:rPr>
          <w:rFonts w:ascii="宋体" w:hAnsi="宋体" w:cs="宋体"/>
          <w:color w:val="auto"/>
          <w:sz w:val="36"/>
          <w:szCs w:val="36"/>
          <w:highlight w:val="none"/>
        </w:rPr>
      </w:pPr>
      <w:r>
        <w:rPr>
          <w:rFonts w:hint="eastAsia" w:ascii="宋体" w:hAnsi="宋体" w:cs="宋体"/>
          <w:color w:val="auto"/>
          <w:highlight w:val="none"/>
        </w:rPr>
        <w:t>政府采购合同条款及格式</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合同编号：</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 xml:space="preserve">签订地点： </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签订日期：</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采购任务编号：</w:t>
      </w:r>
    </w:p>
    <w:p>
      <w:pPr>
        <w:pStyle w:val="10"/>
        <w:spacing w:line="360" w:lineRule="auto"/>
        <w:ind w:firstLine="480" w:firstLineChars="200"/>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需方（甲方、订货方</w:t>
      </w:r>
      <w:r>
        <w:rPr>
          <w:rFonts w:hint="eastAsia" w:ascii="宋体" w:hAnsi="宋体" w:eastAsia="宋体" w:cs="宋体"/>
          <w:bCs/>
          <w:color w:val="auto"/>
          <w:sz w:val="24"/>
          <w:szCs w:val="24"/>
          <w:highlight w:val="none"/>
          <w:lang w:eastAsia="zh-CN"/>
        </w:rPr>
        <w:t>、采购人</w:t>
      </w:r>
      <w:r>
        <w:rPr>
          <w:rFonts w:hint="eastAsia" w:ascii="宋体" w:hAnsi="宋体" w:eastAsia="宋体" w:cs="宋体"/>
          <w:bCs/>
          <w:color w:val="auto"/>
          <w:sz w:val="24"/>
          <w:szCs w:val="24"/>
          <w:highlight w:val="none"/>
        </w:rPr>
        <w:t>）：</w:t>
      </w:r>
    </w:p>
    <w:p>
      <w:pPr>
        <w:spacing w:line="360" w:lineRule="auto"/>
        <w:ind w:firstLine="480" w:firstLineChars="200"/>
        <w:rPr>
          <w:rFonts w:ascii="宋体" w:hAnsi="宋体" w:cs="宋体"/>
          <w:bCs/>
          <w:color w:val="auto"/>
          <w:sz w:val="24"/>
          <w:highlight w:val="none"/>
          <w:u w:val="single"/>
        </w:rPr>
      </w:pPr>
      <w:r>
        <w:rPr>
          <w:rFonts w:hint="eastAsia" w:ascii="宋体" w:hAnsi="宋体" w:cs="宋体"/>
          <w:bCs/>
          <w:color w:val="auto"/>
          <w:sz w:val="24"/>
          <w:highlight w:val="none"/>
        </w:rPr>
        <w:t>供方（乙方、投标人、中标人）：</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（需方、甲方、</w:t>
      </w:r>
      <w:r>
        <w:rPr>
          <w:rFonts w:hint="eastAsia" w:ascii="宋体" w:hAnsi="宋体" w:cs="宋体"/>
          <w:bCs/>
          <w:color w:val="auto"/>
          <w:sz w:val="24"/>
          <w:highlight w:val="none"/>
          <w:lang w:eastAsia="zh-CN"/>
        </w:rPr>
        <w:t>采购人</w:t>
      </w:r>
      <w:r>
        <w:rPr>
          <w:rFonts w:hint="eastAsia" w:ascii="宋体" w:hAnsi="宋体" w:cs="宋体"/>
          <w:bCs/>
          <w:color w:val="auto"/>
          <w:sz w:val="24"/>
          <w:highlight w:val="none"/>
        </w:rPr>
        <w:t>、</w:t>
      </w:r>
      <w:r>
        <w:rPr>
          <w:rFonts w:hint="eastAsia" w:ascii="宋体" w:hAnsi="宋体" w:cs="宋体"/>
          <w:bCs/>
          <w:color w:val="auto"/>
          <w:sz w:val="24"/>
          <w:highlight w:val="none"/>
          <w:lang w:eastAsia="zh-CN"/>
        </w:rPr>
        <w:t>买方</w:t>
      </w:r>
      <w:r>
        <w:rPr>
          <w:rFonts w:hint="eastAsia" w:ascii="宋体" w:hAnsi="宋体" w:cs="宋体"/>
          <w:bCs/>
          <w:color w:val="auto"/>
          <w:sz w:val="24"/>
          <w:highlight w:val="none"/>
        </w:rPr>
        <w:t>）需求的“</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 xml:space="preserve">（货物名称）经        以编号为 </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的招标文件在国内公开招标，经评标委员会评定</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（供方、乙方、中标人、卖方、投标人）（包号）为中标单位。甲乙双方经友好协商，依据吉林省消防救援总队与乙方订立的《     （第  包）总体协议》（以下简称《总体协议》），及《中华人民共和国民法典》和有关法律法规，遵循平等、自愿、公平和诚实信用原则，同意按照下面的条款和条件订立本合同，共同信守。</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一、货物名称、品牌、规格、数量 </w:t>
      </w:r>
    </w:p>
    <w:tbl>
      <w:tblPr>
        <w:tblStyle w:val="24"/>
        <w:tblW w:w="9384"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48"/>
        <w:gridCol w:w="1152"/>
        <w:gridCol w:w="2520"/>
        <w:gridCol w:w="900"/>
        <w:gridCol w:w="1260"/>
        <w:gridCol w:w="20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货物名称</w:t>
            </w:r>
          </w:p>
        </w:tc>
        <w:tc>
          <w:tcPr>
            <w:tcW w:w="1152" w:type="dxa"/>
            <w:vAlign w:val="center"/>
          </w:tcPr>
          <w:p>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品牌</w:t>
            </w:r>
          </w:p>
        </w:tc>
        <w:tc>
          <w:tcPr>
            <w:tcW w:w="2520"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规格型号及配置</w:t>
            </w:r>
          </w:p>
        </w:tc>
        <w:tc>
          <w:tcPr>
            <w:tcW w:w="900"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单价(元)</w:t>
            </w:r>
          </w:p>
        </w:tc>
        <w:tc>
          <w:tcPr>
            <w:tcW w:w="2004"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ascii="宋体" w:hAnsi="宋体" w:cs="宋体"/>
                <w:color w:val="auto"/>
                <w:sz w:val="24"/>
                <w:highlight w:val="none"/>
              </w:rPr>
            </w:pPr>
          </w:p>
        </w:tc>
        <w:tc>
          <w:tcPr>
            <w:tcW w:w="1152" w:type="dxa"/>
            <w:vAlign w:val="center"/>
          </w:tcPr>
          <w:p>
            <w:pPr>
              <w:spacing w:line="360" w:lineRule="auto"/>
              <w:jc w:val="center"/>
              <w:rPr>
                <w:rFonts w:ascii="宋体" w:hAnsi="宋体" w:cs="宋体"/>
                <w:color w:val="auto"/>
                <w:sz w:val="24"/>
                <w:highlight w:val="none"/>
              </w:rPr>
            </w:pPr>
          </w:p>
        </w:tc>
        <w:tc>
          <w:tcPr>
            <w:tcW w:w="2520" w:type="dxa"/>
            <w:vAlign w:val="center"/>
          </w:tcPr>
          <w:p>
            <w:pPr>
              <w:spacing w:line="360" w:lineRule="auto"/>
              <w:jc w:val="center"/>
              <w:rPr>
                <w:rFonts w:ascii="宋体" w:hAnsi="宋体" w:cs="宋体"/>
                <w:color w:val="auto"/>
                <w:sz w:val="24"/>
                <w:highlight w:val="none"/>
              </w:rPr>
            </w:pPr>
          </w:p>
        </w:tc>
        <w:tc>
          <w:tcPr>
            <w:tcW w:w="900" w:type="dxa"/>
            <w:vAlign w:val="center"/>
          </w:tcPr>
          <w:p>
            <w:pPr>
              <w:spacing w:line="360" w:lineRule="auto"/>
              <w:jc w:val="center"/>
              <w:rPr>
                <w:rFonts w:ascii="宋体" w:hAnsi="宋体" w:cs="宋体"/>
                <w:color w:val="auto"/>
                <w:sz w:val="24"/>
                <w:highlight w:val="none"/>
              </w:rPr>
            </w:pPr>
          </w:p>
        </w:tc>
        <w:tc>
          <w:tcPr>
            <w:tcW w:w="1260" w:type="dxa"/>
            <w:vAlign w:val="center"/>
          </w:tcPr>
          <w:p>
            <w:pPr>
              <w:spacing w:line="360" w:lineRule="auto"/>
              <w:jc w:val="center"/>
              <w:rPr>
                <w:rFonts w:ascii="宋体" w:hAnsi="宋体" w:cs="宋体"/>
                <w:color w:val="auto"/>
                <w:sz w:val="24"/>
                <w:highlight w:val="none"/>
              </w:rPr>
            </w:pPr>
          </w:p>
        </w:tc>
        <w:tc>
          <w:tcPr>
            <w:tcW w:w="2004" w:type="dxa"/>
            <w:vAlign w:val="center"/>
          </w:tcPr>
          <w:p>
            <w:pPr>
              <w:spacing w:line="360" w:lineRule="auto"/>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ascii="宋体" w:hAnsi="宋体" w:cs="宋体"/>
                <w:color w:val="auto"/>
                <w:sz w:val="24"/>
                <w:highlight w:val="none"/>
              </w:rPr>
            </w:pPr>
          </w:p>
        </w:tc>
        <w:tc>
          <w:tcPr>
            <w:tcW w:w="1152" w:type="dxa"/>
            <w:vAlign w:val="center"/>
          </w:tcPr>
          <w:p>
            <w:pPr>
              <w:spacing w:line="360" w:lineRule="auto"/>
              <w:jc w:val="center"/>
              <w:rPr>
                <w:rFonts w:ascii="宋体" w:hAnsi="宋体" w:cs="宋体"/>
                <w:color w:val="auto"/>
                <w:sz w:val="24"/>
                <w:highlight w:val="none"/>
              </w:rPr>
            </w:pPr>
          </w:p>
        </w:tc>
        <w:tc>
          <w:tcPr>
            <w:tcW w:w="2520" w:type="dxa"/>
            <w:vAlign w:val="center"/>
          </w:tcPr>
          <w:p>
            <w:pPr>
              <w:spacing w:line="360" w:lineRule="auto"/>
              <w:jc w:val="center"/>
              <w:rPr>
                <w:rFonts w:ascii="宋体" w:hAnsi="宋体" w:cs="宋体"/>
                <w:color w:val="auto"/>
                <w:sz w:val="24"/>
                <w:highlight w:val="none"/>
              </w:rPr>
            </w:pPr>
          </w:p>
        </w:tc>
        <w:tc>
          <w:tcPr>
            <w:tcW w:w="900" w:type="dxa"/>
            <w:vAlign w:val="center"/>
          </w:tcPr>
          <w:p>
            <w:pPr>
              <w:spacing w:line="360" w:lineRule="auto"/>
              <w:jc w:val="center"/>
              <w:rPr>
                <w:rFonts w:ascii="宋体" w:hAnsi="宋体" w:cs="宋体"/>
                <w:color w:val="auto"/>
                <w:sz w:val="24"/>
                <w:highlight w:val="none"/>
              </w:rPr>
            </w:pPr>
          </w:p>
        </w:tc>
        <w:tc>
          <w:tcPr>
            <w:tcW w:w="1260" w:type="dxa"/>
            <w:vAlign w:val="center"/>
          </w:tcPr>
          <w:p>
            <w:pPr>
              <w:spacing w:line="360" w:lineRule="auto"/>
              <w:jc w:val="center"/>
              <w:rPr>
                <w:rFonts w:ascii="宋体" w:hAnsi="宋体" w:cs="宋体"/>
                <w:color w:val="auto"/>
                <w:sz w:val="24"/>
                <w:highlight w:val="none"/>
              </w:rPr>
            </w:pPr>
          </w:p>
        </w:tc>
        <w:tc>
          <w:tcPr>
            <w:tcW w:w="2004" w:type="dxa"/>
            <w:vAlign w:val="center"/>
          </w:tcPr>
          <w:p>
            <w:pPr>
              <w:spacing w:line="360" w:lineRule="auto"/>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ascii="宋体" w:hAnsi="宋体" w:cs="宋体"/>
                <w:color w:val="auto"/>
                <w:sz w:val="24"/>
                <w:highlight w:val="none"/>
              </w:rPr>
            </w:pPr>
          </w:p>
        </w:tc>
        <w:tc>
          <w:tcPr>
            <w:tcW w:w="1152" w:type="dxa"/>
            <w:vAlign w:val="center"/>
          </w:tcPr>
          <w:p>
            <w:pPr>
              <w:spacing w:line="360" w:lineRule="auto"/>
              <w:jc w:val="center"/>
              <w:rPr>
                <w:rFonts w:ascii="宋体" w:hAnsi="宋体" w:cs="宋体"/>
                <w:color w:val="auto"/>
                <w:sz w:val="24"/>
                <w:highlight w:val="none"/>
              </w:rPr>
            </w:pPr>
          </w:p>
        </w:tc>
        <w:tc>
          <w:tcPr>
            <w:tcW w:w="2520" w:type="dxa"/>
            <w:vAlign w:val="center"/>
          </w:tcPr>
          <w:p>
            <w:pPr>
              <w:spacing w:line="360" w:lineRule="auto"/>
              <w:jc w:val="center"/>
              <w:rPr>
                <w:rFonts w:ascii="宋体" w:hAnsi="宋体" w:cs="宋体"/>
                <w:color w:val="auto"/>
                <w:sz w:val="24"/>
                <w:highlight w:val="none"/>
              </w:rPr>
            </w:pPr>
          </w:p>
        </w:tc>
        <w:tc>
          <w:tcPr>
            <w:tcW w:w="900" w:type="dxa"/>
            <w:vAlign w:val="center"/>
          </w:tcPr>
          <w:p>
            <w:pPr>
              <w:spacing w:line="360" w:lineRule="auto"/>
              <w:jc w:val="center"/>
              <w:rPr>
                <w:rFonts w:ascii="宋体" w:hAnsi="宋体" w:cs="宋体"/>
                <w:color w:val="auto"/>
                <w:sz w:val="24"/>
                <w:highlight w:val="none"/>
              </w:rPr>
            </w:pPr>
          </w:p>
        </w:tc>
        <w:tc>
          <w:tcPr>
            <w:tcW w:w="1260" w:type="dxa"/>
            <w:vAlign w:val="center"/>
          </w:tcPr>
          <w:p>
            <w:pPr>
              <w:spacing w:line="360" w:lineRule="auto"/>
              <w:jc w:val="center"/>
              <w:rPr>
                <w:rFonts w:ascii="宋体" w:hAnsi="宋体" w:cs="宋体"/>
                <w:color w:val="auto"/>
                <w:sz w:val="24"/>
                <w:highlight w:val="none"/>
              </w:rPr>
            </w:pPr>
          </w:p>
        </w:tc>
        <w:tc>
          <w:tcPr>
            <w:tcW w:w="2004" w:type="dxa"/>
            <w:vAlign w:val="center"/>
          </w:tcPr>
          <w:p>
            <w:pPr>
              <w:spacing w:line="360" w:lineRule="auto"/>
              <w:jc w:val="center"/>
              <w:rPr>
                <w:rFonts w:ascii="宋体" w:hAnsi="宋体" w:cs="宋体"/>
                <w:color w:val="auto"/>
                <w:sz w:val="24"/>
                <w:highlight w:val="none"/>
              </w:rPr>
            </w:pPr>
          </w:p>
        </w:tc>
      </w:tr>
    </w:tbl>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二、合同价款</w:t>
      </w:r>
    </w:p>
    <w:p>
      <w:pPr>
        <w:ind w:firstLine="480"/>
        <w:rPr>
          <w:rFonts w:ascii="宋体" w:hAnsi="宋体" w:cs="宋体"/>
          <w:b/>
          <w:bCs/>
          <w:color w:val="auto"/>
          <w:sz w:val="24"/>
          <w:highlight w:val="none"/>
        </w:rPr>
      </w:pPr>
      <w:r>
        <w:rPr>
          <w:rFonts w:hint="eastAsia" w:ascii="宋体" w:hAnsi="宋体" w:cs="宋体"/>
          <w:color w:val="auto"/>
          <w:sz w:val="24"/>
          <w:highlight w:val="none"/>
        </w:rPr>
        <w:t>2.1合同总价：人民币（大写）              元，（小写）            元。</w:t>
      </w:r>
      <w:r>
        <w:rPr>
          <w:rFonts w:hint="eastAsia" w:ascii="宋体" w:hAnsi="宋体" w:cs="宋体"/>
          <w:b/>
          <w:bCs/>
          <w:color w:val="auto"/>
          <w:sz w:val="24"/>
          <w:highlight w:val="none"/>
        </w:rPr>
        <w:t>该总价包含货物的成本、运输费、包装费、装卸费、劳务费、保险、利润、税金及涉及到该货物到指定地点的一切费用。需方除本费用及合同另有约定外，不承担任何费用。</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三、交货地点及交货时间</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3.1交货地点：吉林省消防救援总队</w:t>
      </w:r>
      <w:r>
        <w:rPr>
          <w:rFonts w:hint="eastAsia" w:ascii="宋体" w:hAnsi="宋体" w:cs="宋体"/>
          <w:b/>
          <w:color w:val="auto"/>
          <w:sz w:val="24"/>
          <w:highlight w:val="none"/>
          <w:lang w:val="zh-CN"/>
        </w:rPr>
        <w:t>指定地点（地址：</w:t>
      </w:r>
      <w:r>
        <w:rPr>
          <w:rFonts w:hint="eastAsia" w:ascii="宋体" w:hAnsi="宋体" w:cs="宋体"/>
          <w:b/>
          <w:color w:val="auto"/>
          <w:sz w:val="24"/>
          <w:highlight w:val="none"/>
          <w:u w:val="single"/>
        </w:rPr>
        <w:t xml:space="preserve">                       </w:t>
      </w:r>
      <w:r>
        <w:rPr>
          <w:rFonts w:hint="eastAsia" w:ascii="宋体" w:hAnsi="宋体" w:cs="宋体"/>
          <w:b/>
          <w:color w:val="auto"/>
          <w:sz w:val="24"/>
          <w:highlight w:val="none"/>
          <w:lang w:val="zh-CN"/>
        </w:rPr>
        <w:t>，收物人：</w:t>
      </w:r>
      <w:r>
        <w:rPr>
          <w:rFonts w:hint="eastAsia" w:ascii="宋体" w:hAnsi="宋体" w:cs="宋体"/>
          <w:b/>
          <w:color w:val="auto"/>
          <w:sz w:val="24"/>
          <w:highlight w:val="none"/>
          <w:u w:val="single"/>
        </w:rPr>
        <w:t xml:space="preserve">          </w:t>
      </w:r>
      <w:r>
        <w:rPr>
          <w:rFonts w:hint="eastAsia" w:ascii="宋体" w:hAnsi="宋体" w:cs="宋体"/>
          <w:b/>
          <w:color w:val="auto"/>
          <w:sz w:val="24"/>
          <w:highlight w:val="none"/>
          <w:lang w:val="zh-CN"/>
        </w:rPr>
        <w:t>，手机：</w:t>
      </w:r>
      <w:r>
        <w:rPr>
          <w:rFonts w:hint="eastAsia" w:ascii="宋体" w:hAnsi="宋体" w:cs="宋体"/>
          <w:b/>
          <w:color w:val="auto"/>
          <w:sz w:val="24"/>
          <w:highlight w:val="none"/>
          <w:u w:val="single"/>
        </w:rPr>
        <w:t xml:space="preserve">             </w:t>
      </w:r>
      <w:r>
        <w:rPr>
          <w:rFonts w:hint="eastAsia" w:ascii="宋体" w:hAnsi="宋体" w:cs="宋体"/>
          <w:b/>
          <w:color w:val="auto"/>
          <w:sz w:val="24"/>
          <w:highlight w:val="none"/>
          <w:lang w:val="zh-CN"/>
        </w:rPr>
        <w:t>）。</w:t>
      </w:r>
      <w:r>
        <w:rPr>
          <w:rFonts w:hint="eastAsia" w:ascii="宋体" w:hAnsi="宋体" w:cs="宋体"/>
          <w:b/>
          <w:color w:val="auto"/>
          <w:sz w:val="24"/>
          <w:highlight w:val="none"/>
        </w:rPr>
        <w:t>中标人负责将货物安全完好运抵交货地点（货</w:t>
      </w:r>
      <w:r>
        <w:rPr>
          <w:rFonts w:hint="eastAsia" w:ascii="宋体" w:hAnsi="宋体" w:cs="宋体"/>
          <w:b/>
          <w:bCs/>
          <w:color w:val="auto"/>
          <w:sz w:val="24"/>
          <w:highlight w:val="none"/>
        </w:rPr>
        <w:t>物在途的一切风险及运输、卸货等费用由乙方承担）并保证验收合格。</w:t>
      </w:r>
    </w:p>
    <w:p>
      <w:pPr>
        <w:spacing w:line="360" w:lineRule="auto"/>
        <w:ind w:firstLine="482" w:firstLineChars="200"/>
        <w:rPr>
          <w:rFonts w:ascii="宋体" w:hAnsi="宋体" w:cs="宋体"/>
          <w:b/>
          <w:color w:val="auto"/>
          <w:sz w:val="24"/>
          <w:highlight w:val="none"/>
        </w:rPr>
      </w:pPr>
      <w:r>
        <w:rPr>
          <w:rFonts w:hint="eastAsia" w:ascii="宋体" w:hAnsi="宋体" w:cs="宋体"/>
          <w:b/>
          <w:bCs/>
          <w:color w:val="auto"/>
          <w:sz w:val="24"/>
          <w:highlight w:val="none"/>
        </w:rPr>
        <w:t>3.</w:t>
      </w:r>
      <w:r>
        <w:rPr>
          <w:rFonts w:hint="eastAsia" w:ascii="宋体" w:hAnsi="宋体" w:cs="宋体"/>
          <w:b/>
          <w:color w:val="auto"/>
          <w:sz w:val="24"/>
          <w:highlight w:val="none"/>
        </w:rPr>
        <w:t>2交货时间：乙方应于《总体协议》签订之日起4个月内向甲方交付全部货物。</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3.3.考虑到乙方供货单位较多的实际情况，在甲方和乙方未协商一致的情况下，甲方不得强制乙方变更乙方在投标时做出的供货时间承诺，甲方不得以此为由拖延合同签订。</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四、履约保证金</w:t>
      </w:r>
    </w:p>
    <w:p>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4.1吉林省消防救援总队</w:t>
      </w:r>
      <w:r>
        <w:rPr>
          <w:rFonts w:hint="eastAsia" w:ascii="宋体" w:hAnsi="宋体" w:cs="宋体"/>
          <w:color w:val="auto"/>
          <w:sz w:val="24"/>
          <w:highlight w:val="none"/>
          <w:lang w:val="zh-CN"/>
        </w:rPr>
        <w:t>已与乙方签订《总体协议》，乙方向吉林省消防救援总队提交了履约保证金。甲方不再单独收取乙方履约保证金。</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4.2对于乙方依据本合同约定应承担的违约责任/索赔金额/罚金，甲方有权报告吉林省消防救援总队扣留其保管的履约保证金予以抵扣或委托吉林省消防救援总队向出具独立保函的单位主张索赔。</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4.3无论履约保证金、独立保函，甲方随时都有权对由乙方生产的尚未使用的仍在质量保证期内的库存产品发生的质量问题向乙方主张索赔。</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五、付款 </w:t>
      </w:r>
    </w:p>
    <w:p>
      <w:pPr>
        <w:spacing w:line="360" w:lineRule="auto"/>
        <w:rPr>
          <w:rFonts w:ascii="宋体" w:hAnsi="宋体" w:cs="宋体"/>
          <w:bCs/>
          <w:color w:val="auto"/>
          <w:sz w:val="24"/>
          <w:highlight w:val="none"/>
          <w:lang w:val="zh-CN"/>
        </w:rPr>
      </w:pPr>
      <w:r>
        <w:rPr>
          <w:rFonts w:hint="eastAsia" w:ascii="宋体" w:hAnsi="宋体" w:cs="宋体"/>
          <w:b/>
          <w:color w:val="auto"/>
          <w:sz w:val="24"/>
          <w:highlight w:val="none"/>
        </w:rPr>
        <w:t xml:space="preserve">    </w:t>
      </w:r>
      <w:r>
        <w:rPr>
          <w:rFonts w:hint="eastAsia" w:ascii="宋体" w:hAnsi="宋体" w:cs="宋体"/>
          <w:color w:val="auto"/>
          <w:sz w:val="24"/>
          <w:highlight w:val="none"/>
        </w:rPr>
        <w:t>5.</w:t>
      </w:r>
      <w:r>
        <w:rPr>
          <w:rFonts w:hint="eastAsia" w:ascii="宋体" w:hAnsi="宋体" w:cs="宋体"/>
          <w:color w:val="auto"/>
          <w:sz w:val="24"/>
          <w:highlight w:val="none"/>
          <w:lang w:val="zh-CN"/>
        </w:rPr>
        <w:t>1合同签订前乙方向</w:t>
      </w:r>
      <w:r>
        <w:rPr>
          <w:rFonts w:hint="eastAsia" w:ascii="宋体" w:hAnsi="宋体" w:cs="宋体"/>
          <w:color w:val="auto"/>
          <w:sz w:val="24"/>
          <w:highlight w:val="none"/>
        </w:rPr>
        <w:t>吉林省消防救援总队</w:t>
      </w:r>
      <w:r>
        <w:rPr>
          <w:rFonts w:hint="eastAsia" w:ascii="宋体" w:hAnsi="宋体" w:cs="宋体"/>
          <w:color w:val="auto"/>
          <w:sz w:val="24"/>
          <w:highlight w:val="none"/>
          <w:lang w:val="zh-CN"/>
        </w:rPr>
        <w:t>支付合同总价款5％（</w:t>
      </w:r>
      <w:r>
        <w:rPr>
          <w:rFonts w:hint="eastAsia" w:ascii="宋体" w:hAnsi="宋体" w:cs="宋体"/>
          <w:color w:val="auto"/>
          <w:sz w:val="24"/>
          <w:highlight w:val="none"/>
          <w:u w:val="single"/>
        </w:rPr>
        <w:t>XXX元</w:t>
      </w:r>
      <w:r>
        <w:rPr>
          <w:rFonts w:hint="eastAsia" w:ascii="宋体" w:hAnsi="宋体" w:cs="宋体"/>
          <w:color w:val="auto"/>
          <w:sz w:val="24"/>
          <w:highlight w:val="none"/>
        </w:rPr>
        <w:t>）</w:t>
      </w:r>
      <w:r>
        <w:rPr>
          <w:rFonts w:hint="eastAsia" w:ascii="宋体" w:hAnsi="宋体" w:cs="宋体"/>
          <w:color w:val="auto"/>
          <w:sz w:val="24"/>
          <w:highlight w:val="none"/>
          <w:lang w:val="zh-CN"/>
        </w:rPr>
        <w:t>的履约保证金。</w:t>
      </w:r>
      <w:r>
        <w:rPr>
          <w:rFonts w:hint="eastAsia" w:ascii="宋体" w:hAnsi="宋体" w:cs="宋体"/>
          <w:color w:val="auto"/>
          <w:sz w:val="24"/>
          <w:highlight w:val="none"/>
        </w:rPr>
        <w:t>甲乙双方</w:t>
      </w:r>
      <w:r>
        <w:rPr>
          <w:rFonts w:hint="eastAsia" w:ascii="宋体" w:hAnsi="宋体" w:cs="宋体"/>
          <w:color w:val="auto"/>
          <w:sz w:val="24"/>
          <w:highlight w:val="none"/>
          <w:lang w:val="zh-CN"/>
        </w:rPr>
        <w:t>签订合同后</w:t>
      </w:r>
      <w:r>
        <w:rPr>
          <w:rFonts w:ascii="宋体" w:hAnsi="宋体" w:cs="宋体"/>
          <w:color w:val="auto"/>
          <w:sz w:val="24"/>
          <w:highlight w:val="none"/>
          <w:lang w:val="zh-CN"/>
        </w:rPr>
        <w:t>20</w:t>
      </w:r>
      <w:r>
        <w:rPr>
          <w:rFonts w:hint="eastAsia" w:ascii="宋体" w:hAnsi="宋体" w:cs="宋体"/>
          <w:color w:val="auto"/>
          <w:sz w:val="24"/>
          <w:highlight w:val="none"/>
          <w:lang w:val="zh-CN"/>
        </w:rPr>
        <w:t>日内，甲</w:t>
      </w:r>
      <w:r>
        <w:rPr>
          <w:rFonts w:hint="eastAsia" w:ascii="宋体" w:hAnsi="宋体" w:cs="宋体"/>
          <w:color w:val="auto"/>
          <w:sz w:val="24"/>
          <w:highlight w:val="none"/>
        </w:rPr>
        <w:t>方</w:t>
      </w:r>
      <w:r>
        <w:rPr>
          <w:rFonts w:hint="eastAsia" w:ascii="宋体" w:hAnsi="宋体" w:cs="宋体"/>
          <w:color w:val="auto"/>
          <w:sz w:val="24"/>
          <w:highlight w:val="none"/>
          <w:lang w:val="zh-CN"/>
        </w:rPr>
        <w:t>向乙方支付30%</w:t>
      </w:r>
      <w:r>
        <w:rPr>
          <w:rFonts w:hint="eastAsia" w:ascii="宋体" w:hAnsi="宋体" w:cs="宋体"/>
          <w:color w:val="auto"/>
          <w:sz w:val="24"/>
          <w:highlight w:val="none"/>
        </w:rPr>
        <w:t>(</w:t>
      </w:r>
      <w:r>
        <w:rPr>
          <w:rFonts w:hint="eastAsia" w:ascii="宋体" w:hAnsi="宋体" w:cs="宋体"/>
          <w:color w:val="auto"/>
          <w:sz w:val="24"/>
          <w:highlight w:val="none"/>
          <w:u w:val="single"/>
        </w:rPr>
        <w:t>XXX元</w:t>
      </w:r>
      <w:r>
        <w:rPr>
          <w:rFonts w:hint="eastAsia" w:ascii="宋体" w:hAnsi="宋体" w:cs="宋体"/>
          <w:color w:val="auto"/>
          <w:sz w:val="24"/>
          <w:highlight w:val="none"/>
        </w:rPr>
        <w:t>)</w:t>
      </w:r>
      <w:r>
        <w:rPr>
          <w:rFonts w:hint="eastAsia" w:ascii="宋体" w:hAnsi="宋体" w:cs="宋体"/>
          <w:color w:val="auto"/>
          <w:sz w:val="24"/>
          <w:highlight w:val="none"/>
          <w:lang w:val="zh-CN"/>
        </w:rPr>
        <w:t>货款；到货并验收合格，且收到乙方开具的合同等额的符合</w:t>
      </w:r>
      <w:r>
        <w:rPr>
          <w:rFonts w:hint="eastAsia" w:ascii="宋体" w:hAnsi="宋体" w:cs="宋体"/>
          <w:color w:val="auto"/>
          <w:sz w:val="24"/>
          <w:highlight w:val="none"/>
        </w:rPr>
        <w:t>需</w:t>
      </w:r>
      <w:r>
        <w:rPr>
          <w:rFonts w:hint="eastAsia" w:ascii="宋体" w:hAnsi="宋体" w:cs="宋体"/>
          <w:color w:val="auto"/>
          <w:sz w:val="24"/>
          <w:highlight w:val="none"/>
          <w:lang w:val="zh-CN"/>
        </w:rPr>
        <w:t>方要求的税务发票后在</w:t>
      </w:r>
      <w:r>
        <w:rPr>
          <w:rFonts w:hint="eastAsia" w:ascii="宋体" w:hAnsi="宋体" w:cs="宋体"/>
          <w:color w:val="auto"/>
          <w:sz w:val="24"/>
          <w:highlight w:val="none"/>
        </w:rPr>
        <w:t>20</w:t>
      </w:r>
      <w:r>
        <w:rPr>
          <w:rFonts w:hint="eastAsia" w:ascii="宋体" w:hAnsi="宋体" w:cs="宋体"/>
          <w:color w:val="auto"/>
          <w:sz w:val="24"/>
          <w:highlight w:val="none"/>
          <w:lang w:val="zh-CN"/>
        </w:rPr>
        <w:t>日内，甲方向乙方支付70%</w:t>
      </w:r>
      <w:r>
        <w:rPr>
          <w:rFonts w:hint="eastAsia" w:ascii="宋体" w:hAnsi="宋体" w:cs="宋体"/>
          <w:color w:val="auto"/>
          <w:sz w:val="24"/>
          <w:highlight w:val="none"/>
        </w:rPr>
        <w:t>(</w:t>
      </w:r>
      <w:r>
        <w:rPr>
          <w:rFonts w:hint="eastAsia" w:ascii="宋体" w:hAnsi="宋体" w:cs="宋体"/>
          <w:color w:val="auto"/>
          <w:sz w:val="24"/>
          <w:highlight w:val="none"/>
          <w:u w:val="single"/>
        </w:rPr>
        <w:t>XXX元</w:t>
      </w:r>
      <w:r>
        <w:rPr>
          <w:rFonts w:hint="eastAsia" w:ascii="宋体" w:hAnsi="宋体" w:cs="宋体"/>
          <w:color w:val="auto"/>
          <w:sz w:val="24"/>
          <w:highlight w:val="none"/>
        </w:rPr>
        <w:t>)</w:t>
      </w:r>
      <w:r>
        <w:rPr>
          <w:rFonts w:hint="eastAsia" w:ascii="宋体" w:hAnsi="宋体" w:cs="宋体"/>
          <w:color w:val="auto"/>
          <w:sz w:val="24"/>
          <w:highlight w:val="none"/>
          <w:lang w:val="zh-CN"/>
        </w:rPr>
        <w:t>货款；货物质保期（</w:t>
      </w:r>
      <w:r>
        <w:rPr>
          <w:rFonts w:hint="eastAsia" w:ascii="宋体" w:hAnsi="宋体" w:cs="宋体"/>
          <w:color w:val="auto"/>
          <w:sz w:val="24"/>
          <w:highlight w:val="none"/>
        </w:rPr>
        <w:t>自验收合格之日起</w:t>
      </w:r>
      <w:r>
        <w:rPr>
          <w:rFonts w:hint="eastAsia" w:ascii="宋体" w:hAnsi="宋体" w:cs="宋体"/>
          <w:color w:val="auto"/>
          <w:sz w:val="24"/>
          <w:highlight w:val="none"/>
          <w:lang w:val="en-US" w:eastAsia="zh-CN"/>
        </w:rPr>
        <w:t>X</w:t>
      </w:r>
      <w:r>
        <w:rPr>
          <w:rFonts w:hint="eastAsia" w:ascii="宋体" w:hAnsi="宋体" w:cs="宋体"/>
          <w:color w:val="auto"/>
          <w:sz w:val="24"/>
          <w:highlight w:val="none"/>
        </w:rPr>
        <w:t>年</w:t>
      </w:r>
      <w:r>
        <w:rPr>
          <w:rFonts w:hint="eastAsia" w:ascii="宋体" w:hAnsi="宋体" w:cs="宋体"/>
          <w:color w:val="auto"/>
          <w:sz w:val="24"/>
          <w:highlight w:val="none"/>
          <w:lang w:val="zh-CN"/>
        </w:rPr>
        <w:t>）满后，若无质量问题或质量问题已解决达到甲方要求，向乙方无息返还5％</w:t>
      </w:r>
      <w:r>
        <w:rPr>
          <w:rFonts w:hint="eastAsia" w:ascii="宋体" w:hAnsi="宋体" w:cs="宋体"/>
          <w:color w:val="auto"/>
          <w:sz w:val="24"/>
          <w:highlight w:val="none"/>
        </w:rPr>
        <w:t>(</w:t>
      </w:r>
      <w:r>
        <w:rPr>
          <w:rFonts w:hint="eastAsia" w:ascii="宋体" w:hAnsi="宋体" w:cs="宋体"/>
          <w:color w:val="auto"/>
          <w:sz w:val="24"/>
          <w:highlight w:val="none"/>
          <w:u w:val="single"/>
        </w:rPr>
        <w:t>XXX元</w:t>
      </w:r>
      <w:r>
        <w:rPr>
          <w:rFonts w:hint="eastAsia" w:ascii="宋体" w:hAnsi="宋体" w:cs="宋体"/>
          <w:color w:val="auto"/>
          <w:sz w:val="24"/>
          <w:highlight w:val="none"/>
        </w:rPr>
        <w:t>)</w:t>
      </w:r>
      <w:r>
        <w:rPr>
          <w:rFonts w:hint="eastAsia" w:ascii="宋体" w:hAnsi="宋体" w:cs="宋体"/>
          <w:color w:val="auto"/>
          <w:sz w:val="24"/>
          <w:highlight w:val="none"/>
          <w:lang w:val="zh-CN"/>
        </w:rPr>
        <w:t>的履约保证金；</w:t>
      </w:r>
      <w:r>
        <w:rPr>
          <w:rFonts w:hint="eastAsia" w:ascii="宋体" w:hAnsi="宋体" w:cs="宋体"/>
          <w:color w:val="auto"/>
          <w:sz w:val="24"/>
          <w:highlight w:val="none"/>
        </w:rPr>
        <w:t>甲</w:t>
      </w:r>
      <w:r>
        <w:rPr>
          <w:rFonts w:hint="eastAsia" w:ascii="宋体" w:hAnsi="宋体" w:cs="宋体"/>
          <w:color w:val="auto"/>
          <w:sz w:val="24"/>
          <w:highlight w:val="none"/>
          <w:lang w:val="zh-CN"/>
        </w:rPr>
        <w:t>方付款前，乙方应为</w:t>
      </w:r>
      <w:r>
        <w:rPr>
          <w:rFonts w:hint="eastAsia" w:ascii="宋体" w:hAnsi="宋体" w:cs="宋体"/>
          <w:color w:val="auto"/>
          <w:sz w:val="24"/>
          <w:highlight w:val="none"/>
        </w:rPr>
        <w:t>甲</w:t>
      </w:r>
      <w:r>
        <w:rPr>
          <w:rFonts w:hint="eastAsia" w:ascii="宋体" w:hAnsi="宋体" w:cs="宋体"/>
          <w:color w:val="auto"/>
          <w:sz w:val="24"/>
          <w:highlight w:val="none"/>
          <w:lang w:val="zh-CN"/>
        </w:rPr>
        <w:t>方开具符合甲方要求的发票，否则</w:t>
      </w:r>
      <w:r>
        <w:rPr>
          <w:rFonts w:hint="eastAsia" w:ascii="宋体" w:hAnsi="宋体" w:cs="宋体"/>
          <w:color w:val="auto"/>
          <w:sz w:val="24"/>
          <w:highlight w:val="none"/>
        </w:rPr>
        <w:t>甲</w:t>
      </w:r>
      <w:r>
        <w:rPr>
          <w:rFonts w:hint="eastAsia" w:ascii="宋体" w:hAnsi="宋体" w:cs="宋体"/>
          <w:color w:val="auto"/>
          <w:sz w:val="24"/>
          <w:highlight w:val="none"/>
          <w:lang w:val="zh-CN"/>
        </w:rPr>
        <w:t>方有权拒绝付款且不视为违约。</w:t>
      </w:r>
    </w:p>
    <w:p>
      <w:pPr>
        <w:spacing w:line="360" w:lineRule="auto"/>
        <w:ind w:firstLine="480" w:firstLineChars="20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5.2若因乙方未及时在合同供货期限内供货或因验收不达标，导致项目资金被财政部门收回的，甲方有权解除合同，由乙方承担全部责任，乙方退还甲方全部已支付货款，同时甲方扣留全部履约保证金作为违约金。</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六、货物质量和验收</w:t>
      </w:r>
    </w:p>
    <w:p>
      <w:pPr>
        <w:widowControl/>
        <w:adjustRightInd w:val="0"/>
        <w:spacing w:line="360" w:lineRule="auto"/>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6.1关于本合同项下货物的质量和验收，按吉林省消防救援总队与乙方签订的《总体协议》内容执行。</w:t>
      </w:r>
    </w:p>
    <w:p>
      <w:pPr>
        <w:widowControl/>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6.2乙方交付全部货物后30日内，吉林省消防救援总队组织验收小组对全部货物进行到货验收。如到货验收未通过，乙方应根据验收报告对问题进行整改或更换。甲方对货物验收通过，并不代表对货物的隐蔽瑕疵予以接受，如甲方发现货物存在隐蔽瑕疵，无论发现隐蔽瑕疵之日距到货验收之日是否超过质保期，甲方均有权自发现隐蔽瑕疵之日起1年内要求乙方承担违约责任。</w:t>
      </w:r>
    </w:p>
    <w:p>
      <w:pPr>
        <w:widowControl/>
        <w:adjustRightIn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6.3其他验收方面的约定，按照采购人与乙方签署的合同约定执行。</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七、知识产权及有关规定</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7.1 供方应保证需方在使用本合同项下的货物或其任何一部分时免受第三方提出侵犯其知识产权、商标权或工业设计权的起诉。如果发生此类问题，供方应负责交涉</w:t>
      </w:r>
      <w:r>
        <w:rPr>
          <w:rFonts w:hint="eastAsia" w:ascii="宋体" w:hAnsi="宋体" w:cs="宋体"/>
          <w:color w:val="auto"/>
          <w:sz w:val="24"/>
          <w:highlight w:val="none"/>
          <w:lang w:eastAsia="zh-Hans"/>
        </w:rPr>
        <w:t>解决</w:t>
      </w:r>
      <w:r>
        <w:rPr>
          <w:rFonts w:ascii="宋体" w:hAnsi="宋体" w:cs="宋体"/>
          <w:color w:val="auto"/>
          <w:sz w:val="24"/>
          <w:highlight w:val="none"/>
          <w:lang w:eastAsia="zh-Hans"/>
        </w:rPr>
        <w:t>，</w:t>
      </w:r>
      <w:r>
        <w:rPr>
          <w:rFonts w:hint="eastAsia" w:ascii="宋体" w:hAnsi="宋体" w:cs="宋体"/>
          <w:color w:val="auto"/>
          <w:sz w:val="24"/>
          <w:highlight w:val="none"/>
          <w:lang w:eastAsia="zh-Hans"/>
        </w:rPr>
        <w:t>因此造成</w:t>
      </w:r>
      <w:r>
        <w:rPr>
          <w:rFonts w:hint="eastAsia" w:ascii="宋体" w:hAnsi="宋体" w:cs="宋体"/>
          <w:color w:val="auto"/>
          <w:sz w:val="24"/>
          <w:highlight w:val="none"/>
        </w:rPr>
        <w:t>需</w:t>
      </w:r>
      <w:r>
        <w:rPr>
          <w:rFonts w:hint="eastAsia" w:ascii="宋体" w:hAnsi="宋体" w:cs="宋体"/>
          <w:color w:val="auto"/>
          <w:sz w:val="24"/>
          <w:highlight w:val="none"/>
          <w:lang w:eastAsia="zh-Hans"/>
        </w:rPr>
        <w:t>方损失的</w:t>
      </w:r>
      <w:r>
        <w:rPr>
          <w:rFonts w:ascii="宋体" w:hAnsi="宋体" w:cs="宋体"/>
          <w:color w:val="auto"/>
          <w:sz w:val="24"/>
          <w:highlight w:val="none"/>
          <w:lang w:eastAsia="zh-Hans"/>
        </w:rPr>
        <w:t>，</w:t>
      </w:r>
      <w:r>
        <w:rPr>
          <w:rFonts w:hint="eastAsia" w:ascii="宋体" w:hAnsi="宋体" w:cs="宋体"/>
          <w:color w:val="auto"/>
          <w:sz w:val="24"/>
          <w:highlight w:val="none"/>
        </w:rPr>
        <w:t>供</w:t>
      </w:r>
      <w:r>
        <w:rPr>
          <w:rFonts w:hint="eastAsia" w:ascii="宋体" w:hAnsi="宋体" w:cs="宋体"/>
          <w:color w:val="auto"/>
          <w:sz w:val="24"/>
          <w:highlight w:val="none"/>
          <w:lang w:eastAsia="zh-Hans"/>
        </w:rPr>
        <w:t>方还应向</w:t>
      </w:r>
      <w:r>
        <w:rPr>
          <w:rFonts w:hint="eastAsia" w:ascii="宋体" w:hAnsi="宋体" w:cs="宋体"/>
          <w:color w:val="auto"/>
          <w:sz w:val="24"/>
          <w:highlight w:val="none"/>
        </w:rPr>
        <w:t>需</w:t>
      </w:r>
      <w:r>
        <w:rPr>
          <w:rFonts w:hint="eastAsia" w:ascii="宋体" w:hAnsi="宋体" w:cs="宋体"/>
          <w:color w:val="auto"/>
          <w:sz w:val="24"/>
          <w:highlight w:val="none"/>
          <w:lang w:eastAsia="zh-Hans"/>
        </w:rPr>
        <w:t>方</w:t>
      </w:r>
      <w:r>
        <w:rPr>
          <w:rFonts w:hint="eastAsia" w:ascii="宋体" w:hAnsi="宋体" w:cs="宋体"/>
          <w:color w:val="auto"/>
          <w:sz w:val="24"/>
          <w:highlight w:val="none"/>
        </w:rPr>
        <w:t>承担</w:t>
      </w:r>
      <w:r>
        <w:rPr>
          <w:rFonts w:hint="eastAsia" w:ascii="宋体" w:hAnsi="宋体" w:cs="宋体"/>
          <w:color w:val="auto"/>
          <w:sz w:val="24"/>
          <w:highlight w:val="none"/>
          <w:lang w:eastAsia="zh-Hans"/>
        </w:rPr>
        <w:t>损害赔偿</w:t>
      </w:r>
      <w:r>
        <w:rPr>
          <w:rFonts w:hint="eastAsia" w:ascii="宋体" w:hAnsi="宋体" w:cs="宋体"/>
          <w:color w:val="auto"/>
          <w:sz w:val="24"/>
          <w:highlight w:val="none"/>
        </w:rPr>
        <w:t>责任。</w:t>
      </w:r>
      <w:r>
        <w:rPr>
          <w:rFonts w:hint="eastAsia" w:ascii="宋体" w:hAnsi="宋体" w:cs="宋体"/>
          <w:color w:val="auto"/>
          <w:sz w:val="24"/>
          <w:highlight w:val="none"/>
          <w:lang w:val="en-US" w:eastAsia="zh-CN"/>
        </w:rPr>
        <w:t>还需赔偿甲方因维权产生的诉讼费、律师费、评估费等损失。</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7.2 供方应保证所供货物符合国家的有关规定。</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八、伴随服务</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8.1供方应提供所交付货物的全套技术文件资料，包括产品目录、图纸、操作手册、使用说明、维护手册和服务指南等。</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8.2供方还应提供下列服务：货物的运输、集成和试运行；提供货物组装和维修所需的工具；在质量保证期内对所交付货物提供运行监督、维修、保养等；在制造厂家和/或在项目现场就货物的安装调试、运行、维护等对需方人员进行培训。</w:t>
      </w:r>
    </w:p>
    <w:p>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8.3乙方在交付货物时，须附着由“消防装备物资信息采购系统”统一发行的装备物资二维码（或RFID），二维码要清晰整洁，固定牢固且具有永久性，扫描后显示信息要包括产品信息、图片、使用说明等详细信息。</w:t>
      </w:r>
    </w:p>
    <w:p>
      <w:pPr>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8.</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上述伴随服务的费用应包含在合同价中，不单独进行支付。</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九、质量保证期及售后服务</w:t>
      </w:r>
    </w:p>
    <w:p>
      <w:pPr>
        <w:spacing w:line="360" w:lineRule="auto"/>
        <w:ind w:firstLine="482" w:firstLineChars="200"/>
        <w:rPr>
          <w:rFonts w:hAnsi="宋体"/>
          <w:color w:val="auto"/>
          <w:kern w:val="0"/>
          <w:sz w:val="24"/>
          <w:highlight w:val="none"/>
        </w:rPr>
      </w:pPr>
      <w:r>
        <w:rPr>
          <w:rFonts w:hint="eastAsia" w:ascii="宋体" w:hAnsi="宋体" w:cs="宋体"/>
          <w:b/>
          <w:color w:val="auto"/>
          <w:sz w:val="24"/>
          <w:highlight w:val="none"/>
        </w:rPr>
        <w:t>9.1质保期：自货物最终验收合格之日起质保X年，保修期X年，保修期自质保期届满之日起计算。保修期内的质量问题必须及时免费提供维修服务，人工、备品、备件及耗材承诺保证供应且价格优惠。</w:t>
      </w:r>
      <w:r>
        <w:rPr>
          <w:rFonts w:hint="eastAsia" w:ascii="宋体" w:hAnsi="宋体" w:cs="宋体"/>
          <w:color w:val="auto"/>
          <w:kern w:val="0"/>
          <w:sz w:val="24"/>
          <w:highlight w:val="none"/>
        </w:rPr>
        <w:t>在质量保证期中甲方发现货物无法正常使用或导致人身或财产损害，则乙方应按本合同约定区分质量问题的性质向甲方承担违约责任，对于所造成的人身或财产损害，乙方应全额赔偿，甲方亦会根据人身或财产损害的情形，就乙方未提供质量合格货物的违法/犯罪行为向有管辖权的行政机</w:t>
      </w:r>
      <w:r>
        <w:rPr>
          <w:rFonts w:hAnsi="宋体"/>
          <w:color w:val="auto"/>
          <w:kern w:val="0"/>
          <w:sz w:val="24"/>
          <w:highlight w:val="none"/>
        </w:rPr>
        <w:t>关</w:t>
      </w:r>
      <w:r>
        <w:rPr>
          <w:color w:val="auto"/>
          <w:kern w:val="0"/>
          <w:sz w:val="24"/>
          <w:highlight w:val="none"/>
        </w:rPr>
        <w:t>/</w:t>
      </w:r>
      <w:r>
        <w:rPr>
          <w:rFonts w:hAnsi="宋体"/>
          <w:color w:val="auto"/>
          <w:kern w:val="0"/>
          <w:sz w:val="24"/>
          <w:highlight w:val="none"/>
        </w:rPr>
        <w:t>司法机关进行移送。</w:t>
      </w:r>
    </w:p>
    <w:p>
      <w:pPr>
        <w:spacing w:line="360" w:lineRule="auto"/>
        <w:ind w:firstLine="482" w:firstLineChars="200"/>
        <w:rPr>
          <w:rFonts w:ascii="宋体" w:hAnsi="宋体" w:cs="宋体"/>
          <w:color w:val="auto"/>
          <w:sz w:val="24"/>
          <w:highlight w:val="none"/>
        </w:rPr>
      </w:pPr>
      <w:r>
        <w:rPr>
          <w:rFonts w:hint="eastAsia" w:ascii="宋体" w:hAnsi="宋体" w:cs="宋体"/>
          <w:b/>
          <w:bCs/>
          <w:color w:val="auto"/>
          <w:sz w:val="24"/>
          <w:highlight w:val="none"/>
        </w:rPr>
        <w:t>9.2售后服务要求：</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9.2.1、货物最终由</w:t>
      </w:r>
      <w:r>
        <w:rPr>
          <w:rFonts w:hint="eastAsia" w:ascii="宋体" w:hAnsi="宋体" w:cs="宋体"/>
          <w:color w:val="auto"/>
          <w:kern w:val="0"/>
          <w:sz w:val="24"/>
          <w:highlight w:val="none"/>
          <w:lang w:eastAsia="zh-CN"/>
        </w:rPr>
        <w:t>采购人</w:t>
      </w:r>
      <w:r>
        <w:rPr>
          <w:rFonts w:hint="eastAsia" w:ascii="宋体" w:hAnsi="宋体" w:cs="宋体"/>
          <w:color w:val="auto"/>
          <w:kern w:val="0"/>
          <w:sz w:val="24"/>
          <w:highlight w:val="none"/>
        </w:rPr>
        <w:t>验收，达到本招标文件规定的各项技术指标和设备的产品标准，达到安全防护要求，并提供完整的销售发票，国家有关质检机构出具的检验报告或证书（如果招标文件技术需求要求提供），制造厂商出具的质量检验证书、产品合格证等资料，视为验收合格。验收以招标文件和中标人的投标文件技术参数资料为标准，如果上述文件有不一致之处，以中标人的投标文件中全部技术参数为准进行验收。如果在现场的安装和调试由于投标人的责任被延误，则质量保证期将相应延长。验收发现恶意提供劣质标的，如以次充好、低于招标技术参数、同批货物中明显有不合格产品等情况，</w:t>
      </w:r>
      <w:r>
        <w:rPr>
          <w:rFonts w:hint="eastAsia" w:ascii="宋体" w:hAnsi="宋体" w:cs="宋体"/>
          <w:color w:val="auto"/>
          <w:kern w:val="0"/>
          <w:sz w:val="24"/>
          <w:highlight w:val="none"/>
          <w:lang w:eastAsia="zh-CN"/>
        </w:rPr>
        <w:t>采购人</w:t>
      </w:r>
      <w:r>
        <w:rPr>
          <w:rFonts w:hint="eastAsia" w:ascii="宋体" w:hAnsi="宋体" w:cs="宋体"/>
          <w:color w:val="auto"/>
          <w:kern w:val="0"/>
          <w:sz w:val="24"/>
          <w:highlight w:val="none"/>
        </w:rPr>
        <w:t>无论使用与否，投标人应无条件接受退货，并承担所有与认证鉴定有关的全部费用及</w:t>
      </w:r>
      <w:r>
        <w:rPr>
          <w:rFonts w:hint="eastAsia" w:ascii="宋体" w:hAnsi="宋体" w:cs="宋体"/>
          <w:color w:val="auto"/>
          <w:kern w:val="0"/>
          <w:sz w:val="24"/>
          <w:highlight w:val="none"/>
          <w:lang w:eastAsia="zh-CN"/>
        </w:rPr>
        <w:t>采购人</w:t>
      </w:r>
      <w:r>
        <w:rPr>
          <w:rFonts w:hint="eastAsia" w:ascii="宋体" w:hAnsi="宋体" w:cs="宋体"/>
          <w:color w:val="auto"/>
          <w:kern w:val="0"/>
          <w:sz w:val="24"/>
          <w:highlight w:val="none"/>
        </w:rPr>
        <w:t xml:space="preserve">蒙受的全部直接损失。 </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9.2.2、备件供应和售后服务设施：</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1、备件供应：</w:t>
      </w:r>
      <w:r>
        <w:rPr>
          <w:rFonts w:hint="eastAsia" w:ascii="宋体" w:hAnsi="宋体" w:cs="宋体"/>
          <w:color w:val="auto"/>
          <w:kern w:val="0"/>
          <w:sz w:val="24"/>
          <w:highlight w:val="none"/>
          <w:lang w:eastAsia="zh-Hans"/>
        </w:rPr>
        <w:t>质保期</w:t>
      </w:r>
      <w:r>
        <w:rPr>
          <w:rFonts w:hint="eastAsia" w:ascii="宋体" w:hAnsi="宋体" w:cs="宋体"/>
          <w:color w:val="auto"/>
          <w:kern w:val="0"/>
          <w:sz w:val="24"/>
          <w:highlight w:val="none"/>
        </w:rPr>
        <w:t>内的人工、备品、备件及耗材免费供应。保修期内的质量问题必须及时免费提供维修服务，人工、备品、备件及耗材承诺保证供应且价格优惠；提供全寿命周期的主要耗损件、易损件及更换总成的目录和年度价格清单，并承诺保证供应且价格合理。</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 xml:space="preserve">2、有完善售后体系：    </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2.2提供售后培训和定期巡检。装备交付时对指战员进行集中培训，确保学懂弄通并熟练操作。每年派技术人员到消防救援站进行巡检，建立常态化培训和巡检机制。</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2.3投标人需设立24小时值守电话，保证畅通并即时响应售后受理渠道。维修技术人员必须在指定时间内到达现场并开展维修。遇不可抗力，</w:t>
      </w:r>
      <w:r>
        <w:rPr>
          <w:rFonts w:hint="eastAsia" w:ascii="宋体" w:hAnsi="宋体" w:cs="宋体"/>
          <w:color w:val="auto"/>
          <w:kern w:val="0"/>
          <w:sz w:val="24"/>
          <w:highlight w:val="none"/>
          <w:lang w:val="en-US" w:eastAsia="zh-CN"/>
        </w:rPr>
        <w:t>不能</w:t>
      </w:r>
      <w:r>
        <w:rPr>
          <w:rFonts w:hint="eastAsia" w:ascii="宋体" w:hAnsi="宋体" w:cs="宋体"/>
          <w:color w:val="auto"/>
          <w:kern w:val="0"/>
          <w:sz w:val="24"/>
          <w:highlight w:val="none"/>
        </w:rPr>
        <w:t>在甲方指定的时间内到达维修地点的，要及时通知报修单位并说明原因。</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2.4提供联勤联动机制。遇有重大灾害事故处置，要快速响应，投标人需选派素质好、业务精的人员遂行技术保障，提供技术支持、现场抢修等应急技术服务。</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2.5投标人对消防救援队伍提出的维修需求,要及时响应、远程指导修复。对不能修复的,要派技术人员</w:t>
      </w:r>
      <w:r>
        <w:rPr>
          <w:rFonts w:hint="eastAsia" w:ascii="宋体" w:hAnsi="宋体" w:cs="宋体"/>
          <w:color w:val="auto"/>
          <w:sz w:val="24"/>
          <w:highlight w:val="none"/>
          <w:lang w:val="en-US" w:eastAsia="zh-CN"/>
        </w:rPr>
        <w:t>X</w:t>
      </w:r>
      <w:r>
        <w:rPr>
          <w:rFonts w:hint="eastAsia" w:ascii="宋体" w:hAnsi="宋体" w:cs="宋体"/>
          <w:color w:val="auto"/>
          <w:kern w:val="0"/>
          <w:sz w:val="24"/>
          <w:highlight w:val="none"/>
        </w:rPr>
        <w:t>小时内到场维修。国内有配件的一般故障在</w:t>
      </w:r>
      <w:r>
        <w:rPr>
          <w:rFonts w:hint="eastAsia" w:ascii="宋体" w:hAnsi="宋体" w:cs="宋体"/>
          <w:color w:val="auto"/>
          <w:sz w:val="24"/>
          <w:highlight w:val="none"/>
          <w:lang w:val="en-US" w:eastAsia="zh-CN"/>
        </w:rPr>
        <w:t>X</w:t>
      </w:r>
      <w:r>
        <w:rPr>
          <w:rFonts w:hint="eastAsia" w:ascii="宋体" w:hAnsi="宋体" w:cs="宋体"/>
          <w:color w:val="auto"/>
          <w:kern w:val="0"/>
          <w:sz w:val="24"/>
          <w:highlight w:val="none"/>
        </w:rPr>
        <w:t>小时内修复,较大故障一周内修复。国内没有配件的,应在</w:t>
      </w:r>
      <w:r>
        <w:rPr>
          <w:rFonts w:hint="eastAsia" w:ascii="宋体" w:hAnsi="宋体" w:cs="宋体"/>
          <w:color w:val="auto"/>
          <w:sz w:val="24"/>
          <w:highlight w:val="none"/>
          <w:lang w:val="en-US" w:eastAsia="zh-CN"/>
        </w:rPr>
        <w:t>X</w:t>
      </w:r>
      <w:r>
        <w:rPr>
          <w:rFonts w:hint="eastAsia" w:ascii="宋体" w:hAnsi="宋体" w:cs="宋体"/>
          <w:color w:val="auto"/>
          <w:kern w:val="0"/>
          <w:sz w:val="24"/>
          <w:highlight w:val="none"/>
        </w:rPr>
        <w:t>日内提供配件并修复。</w:t>
      </w:r>
    </w:p>
    <w:p>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2.6在质保期内发生的质量问题,或在寿命期内发现的设计、制造缺陷, 投标人负责召回,召回时间不得超过60日。</w:t>
      </w:r>
      <w:r>
        <w:rPr>
          <w:rFonts w:hint="eastAsia" w:ascii="宋体" w:hAnsi="宋体" w:cs="宋体"/>
          <w:color w:val="auto"/>
          <w:sz w:val="24"/>
          <w:highlight w:val="none"/>
        </w:rPr>
        <w:t xml:space="preserve"> </w:t>
      </w:r>
    </w:p>
    <w:p>
      <w:pPr>
        <w:spacing w:line="360" w:lineRule="auto"/>
        <w:rPr>
          <w:rFonts w:ascii="宋体" w:hAnsi="宋体" w:cs="宋体"/>
          <w:b/>
          <w:color w:val="auto"/>
          <w:sz w:val="24"/>
          <w:highlight w:val="none"/>
        </w:rPr>
      </w:pPr>
      <w:r>
        <w:rPr>
          <w:rFonts w:hint="eastAsia" w:ascii="宋体" w:hAnsi="宋体" w:cs="宋体"/>
          <w:b/>
          <w:color w:val="auto"/>
          <w:sz w:val="24"/>
          <w:highlight w:val="none"/>
        </w:rPr>
        <w:t xml:space="preserve">    十、质量保证</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10.1 乙方应保证所提供的货物是原制造厂商制造的、经过合法销售渠道取得的、全新的、未使用过的，并完全符合合同</w:t>
      </w:r>
      <w:r>
        <w:rPr>
          <w:rFonts w:hint="eastAsia" w:ascii="宋体" w:hAnsi="宋体" w:cs="宋体"/>
          <w:color w:val="auto"/>
          <w:sz w:val="24"/>
          <w:highlight w:val="none"/>
          <w:lang w:eastAsia="zh-Hans"/>
        </w:rPr>
        <w:t>约定</w:t>
      </w:r>
      <w:r>
        <w:rPr>
          <w:rFonts w:hint="eastAsia" w:ascii="宋体" w:hAnsi="宋体" w:cs="宋体"/>
          <w:color w:val="auto"/>
          <w:sz w:val="24"/>
          <w:highlight w:val="none"/>
        </w:rPr>
        <w:t>的品牌、规格型号、技术性能、配置、质量、数量等要求。供方应保证其所提供的货物在正常使用和保养条件下，在其使用寿命期内具有满意的性能。在货物最终验收合格交付后不少于本合同第九条约定的质量保证期内，供方应对其交付的货物由于设计、工艺或材料的缺陷而产生的故障负责。</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10.2 在质量保证期内，如果货物的规格型号、技术性能、原产地及制造厂商以及其他质量技术指标与合同约定不符，或证实货物是有缺陷的，包括潜在的缺陷或使用不符合要求的材料等，需方应尽快以书面形式向供方提出本保证下的索赔。</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10.3在质量保证期内，供方在接到需方的通知后，应在本合同第九条约定的响应时间内,免费维修和/或更换有缺陷的货物或部件。</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10.4 如果供方在接到需方通知后，在本合同第九条约定的响应时间内没有弥补缺陷，需方可采取必要的补救措施，但其风险和费用将由供方负担，并且需方根据合同规定对供方行使的其他权利不受影响。</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十一、索赔</w:t>
      </w:r>
    </w:p>
    <w:p>
      <w:pPr>
        <w:spacing w:line="360" w:lineRule="auto"/>
        <w:ind w:firstLine="570"/>
        <w:rPr>
          <w:rFonts w:ascii="宋体" w:hAnsi="宋体" w:cs="宋体"/>
          <w:color w:val="auto"/>
          <w:sz w:val="24"/>
          <w:highlight w:val="none"/>
        </w:rPr>
      </w:pPr>
      <w:r>
        <w:rPr>
          <w:rFonts w:hint="eastAsia" w:ascii="宋体" w:hAnsi="宋体" w:cs="宋体"/>
          <w:color w:val="auto"/>
          <w:sz w:val="24"/>
          <w:highlight w:val="none"/>
        </w:rPr>
        <w:t>11.1需方有权根据当地国家技术监督局、进出口商品检验局或其他具有法定资格的质检机构出具的检验证书向供方提出索赔。</w:t>
      </w:r>
    </w:p>
    <w:p>
      <w:pPr>
        <w:spacing w:line="360" w:lineRule="auto"/>
        <w:ind w:firstLine="570"/>
        <w:rPr>
          <w:rFonts w:ascii="宋体" w:hAnsi="宋体" w:cs="宋体"/>
          <w:color w:val="auto"/>
          <w:sz w:val="24"/>
          <w:highlight w:val="none"/>
        </w:rPr>
      </w:pPr>
      <w:r>
        <w:rPr>
          <w:rFonts w:hint="eastAsia" w:ascii="宋体" w:hAnsi="宋体" w:cs="宋体"/>
          <w:color w:val="auto"/>
          <w:sz w:val="24"/>
          <w:highlight w:val="none"/>
        </w:rPr>
        <w:t>11.2如果供方对缺陷负有责任且需方提出索赔，供方应按照需方同意的下列一种或多种方式解决索赔事宜：</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（1）供方同意退货并将货款退还给需方，并承担由此发生的一切损失和费用，</w:t>
      </w:r>
      <w:r>
        <w:rPr>
          <w:rFonts w:hint="eastAsia" w:ascii="宋体" w:hAnsi="宋体" w:cs="宋体"/>
          <w:color w:val="auto"/>
          <w:sz w:val="24"/>
          <w:highlight w:val="none"/>
          <w:lang w:val="en-US" w:eastAsia="zh-CN"/>
        </w:rPr>
        <w:t>具体以本合同或者采购人与乙方签署的合同约定为准。</w:t>
      </w:r>
      <w:r>
        <w:rPr>
          <w:rFonts w:hint="eastAsia" w:ascii="宋体" w:hAnsi="宋体" w:cs="宋体"/>
          <w:color w:val="auto"/>
          <w:sz w:val="24"/>
          <w:highlight w:val="none"/>
        </w:rPr>
        <w:t>包括</w:t>
      </w:r>
      <w:r>
        <w:rPr>
          <w:rFonts w:hint="eastAsia" w:ascii="宋体" w:hAnsi="宋体" w:cs="宋体"/>
          <w:color w:val="auto"/>
          <w:sz w:val="24"/>
          <w:highlight w:val="none"/>
          <w:lang w:eastAsia="zh-Hans"/>
        </w:rPr>
        <w:t>但不限于</w:t>
      </w:r>
      <w:r>
        <w:rPr>
          <w:rFonts w:hint="eastAsia" w:ascii="宋体" w:hAnsi="宋体" w:cs="宋体"/>
          <w:color w:val="auto"/>
          <w:sz w:val="24"/>
          <w:highlight w:val="none"/>
        </w:rPr>
        <w:t>利息、银行手续费、运费、保险费、检验费、仓储费、装卸费以及为保护退回货物所需的其他必要费用。</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（2）根据货物低劣、损坏程度以及需方所遭受损失的金额，经过供需双方商定降低货物的价格。</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（3）用符合合同</w:t>
      </w:r>
      <w:r>
        <w:rPr>
          <w:rFonts w:hint="eastAsia" w:ascii="宋体" w:hAnsi="宋体" w:cs="宋体"/>
          <w:color w:val="auto"/>
          <w:sz w:val="24"/>
          <w:highlight w:val="none"/>
          <w:lang w:eastAsia="zh-Hans"/>
        </w:rPr>
        <w:t>约定</w:t>
      </w:r>
      <w:r>
        <w:rPr>
          <w:rFonts w:hint="eastAsia" w:ascii="宋体" w:hAnsi="宋体" w:cs="宋体"/>
          <w:color w:val="auto"/>
          <w:sz w:val="24"/>
          <w:highlight w:val="none"/>
        </w:rPr>
        <w:t>的规格、质量和性能要求的新零件、部件和／或设备来更换有缺陷的部分和／或修补缺陷部分，供方应承担一切费用和风险，并负担需方蒙受的全部直接损失。供方应同时按合同第九条的规定，相应延长修补和／或更换件的质量保证期。</w:t>
      </w:r>
    </w:p>
    <w:p>
      <w:pPr>
        <w:spacing w:line="360" w:lineRule="auto"/>
        <w:ind w:firstLine="570"/>
        <w:rPr>
          <w:rFonts w:ascii="宋体" w:hAnsi="宋体" w:cs="宋体"/>
          <w:color w:val="auto"/>
          <w:sz w:val="24"/>
          <w:highlight w:val="none"/>
        </w:rPr>
      </w:pPr>
      <w:r>
        <w:rPr>
          <w:rFonts w:hint="eastAsia" w:ascii="宋体" w:hAnsi="宋体" w:cs="宋体"/>
          <w:color w:val="auto"/>
          <w:sz w:val="24"/>
          <w:highlight w:val="none"/>
        </w:rPr>
        <w:t>11.3如果在需方发出索赔通知后十天内，供方未作答复，上述索赔应视为已被供方接受。如供方未能在接到需方索赔通知后十天内或需方同意的延长期限内，按照本合同11.2条规定的任何一种或多种方式解决索赔事宜并征得需方同意，需方有权从应付货款或从供方提交的履约保证金中扣回索赔金额，并拥有对赔偿不足部分进一步索赔的权利。</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十二、供方履约延误</w:t>
      </w:r>
    </w:p>
    <w:p>
      <w:pPr>
        <w:spacing w:line="360" w:lineRule="auto"/>
        <w:ind w:firstLine="570"/>
        <w:rPr>
          <w:rFonts w:ascii="宋体" w:hAnsi="宋体" w:cs="宋体"/>
          <w:color w:val="auto"/>
          <w:sz w:val="24"/>
          <w:highlight w:val="none"/>
        </w:rPr>
      </w:pPr>
      <w:r>
        <w:rPr>
          <w:rFonts w:hint="eastAsia" w:ascii="宋体" w:hAnsi="宋体" w:cs="宋体"/>
          <w:color w:val="auto"/>
          <w:sz w:val="24"/>
          <w:highlight w:val="none"/>
        </w:rPr>
        <w:t>12.1 供方应按照合同规定的时间、地点交货和提供服务。</w:t>
      </w:r>
    </w:p>
    <w:p>
      <w:pPr>
        <w:spacing w:line="360" w:lineRule="auto"/>
        <w:ind w:firstLine="570"/>
        <w:rPr>
          <w:rFonts w:ascii="宋体" w:hAnsi="宋体" w:cs="宋体"/>
          <w:color w:val="auto"/>
          <w:sz w:val="24"/>
          <w:highlight w:val="none"/>
        </w:rPr>
      </w:pPr>
      <w:r>
        <w:rPr>
          <w:rFonts w:hint="eastAsia" w:ascii="宋体" w:hAnsi="宋体" w:cs="宋体"/>
          <w:color w:val="auto"/>
          <w:sz w:val="24"/>
          <w:highlight w:val="none"/>
        </w:rPr>
        <w:t>12.2 如供方无正当理由拖延交货或不按投标文件提供服务，需方报请吉林省消防救援总队，吉林省消防救援总队将根据《总体协议》扣留履约保证金作为违约金，对于供方造成的损失超过履约保证金的部分，吉林省消防救援总队有权要求供方照实际损失予以赔偿并可以主张</w:t>
      </w:r>
      <w:r>
        <w:rPr>
          <w:rFonts w:hint="eastAsia" w:ascii="宋体" w:hAnsi="宋体" w:cs="宋体"/>
          <w:color w:val="auto"/>
          <w:sz w:val="24"/>
          <w:highlight w:val="none"/>
          <w:lang w:val="en-US" w:eastAsia="zh-CN"/>
        </w:rPr>
        <w:t>解除</w:t>
      </w:r>
      <w:r>
        <w:rPr>
          <w:rFonts w:hint="eastAsia" w:ascii="宋体" w:hAnsi="宋体" w:cs="宋体"/>
          <w:color w:val="auto"/>
          <w:sz w:val="24"/>
          <w:highlight w:val="none"/>
        </w:rPr>
        <w:t>合同。</w:t>
      </w:r>
    </w:p>
    <w:p>
      <w:pPr>
        <w:spacing w:line="360" w:lineRule="auto"/>
        <w:ind w:firstLine="600" w:firstLineChars="250"/>
        <w:rPr>
          <w:rFonts w:ascii="宋体" w:hAnsi="宋体" w:cs="宋体"/>
          <w:color w:val="auto"/>
          <w:sz w:val="24"/>
          <w:highlight w:val="none"/>
        </w:rPr>
      </w:pPr>
      <w:r>
        <w:rPr>
          <w:rFonts w:hint="eastAsia" w:ascii="宋体" w:hAnsi="宋体" w:cs="宋体"/>
          <w:color w:val="auto"/>
          <w:sz w:val="24"/>
          <w:highlight w:val="none"/>
        </w:rPr>
        <w:t>12.3 在履行合同过程中，如果供方遇到可能妨碍其按时交货和提供服务的情况，应及时以书面形式将拖延的事实，可能拖延的期限和理由通知需方。需方在收到供方通知后，应尽快对情况进行评价，并确定是否通过修改合同，酌情延长交货时间和/或延期提供服务，或者终止合同。</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十三、违约问题处理</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13.1误期赔偿</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13.1.1除合同第十四条规定外，如果供方没有按照合同规定的时间交货和提供服务，</w:t>
      </w:r>
      <w:r>
        <w:rPr>
          <w:rFonts w:hint="eastAsia" w:ascii="宋体" w:hAnsi="宋体" w:cs="宋体"/>
          <w:color w:val="auto"/>
          <w:sz w:val="24"/>
          <w:highlight w:val="none"/>
          <w:lang w:eastAsia="zh-Hans"/>
        </w:rPr>
        <w:t>需</w:t>
      </w:r>
      <w:r>
        <w:rPr>
          <w:rFonts w:hint="eastAsia" w:ascii="宋体" w:hAnsi="宋体" w:cs="宋体"/>
          <w:color w:val="auto"/>
          <w:sz w:val="24"/>
          <w:highlight w:val="none"/>
        </w:rPr>
        <w:t>方有权要求供方支付误期赔偿费。误期赔偿费每天按迟交货物的交货价或延期服务的服务费用的万分之五计收，直至交货或提供服务为止，误期赔偿金以合同总价5%为上限。一天按24小时计算，不足一天按一天计算，误期超过3</w:t>
      </w:r>
      <w:r>
        <w:rPr>
          <w:rFonts w:ascii="宋体" w:hAnsi="宋体" w:cs="宋体"/>
          <w:color w:val="auto"/>
          <w:sz w:val="24"/>
          <w:highlight w:val="none"/>
        </w:rPr>
        <w:t>0</w:t>
      </w:r>
      <w:r>
        <w:rPr>
          <w:rFonts w:hint="eastAsia" w:ascii="宋体" w:hAnsi="宋体" w:cs="宋体"/>
          <w:color w:val="auto"/>
          <w:sz w:val="24"/>
          <w:highlight w:val="none"/>
        </w:rPr>
        <w:t>日的，需方有权单方解除合同并扣留履约保证金，对于供方造成的实际损失超过履约保证金的部分，需方有权要求供方按照实际损失予以赔偿。</w:t>
      </w:r>
      <w:r>
        <w:rPr>
          <w:rFonts w:hint="eastAsia" w:ascii="宋体" w:hAnsi="宋体" w:cs="宋体"/>
          <w:color w:val="auto"/>
          <w:sz w:val="24"/>
          <w:highlight w:val="none"/>
          <w:lang w:val="en-US" w:eastAsia="zh-CN"/>
        </w:rPr>
        <w:t>乙方需退还全部货款，另外乙方还需赔偿甲方维权产生的全部费用，包括但不限于鉴定费、律师费、保全担保费、公证费、诉讼费、标的物涨价产生的差额产生的费用等。</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13.1.2误期赔偿费可从应付货款和/或履约保证金中扣除。</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13.1.3收取误期赔偿费不影响需方采取合同规定的其他补救措施的权利。</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13.1.4供方如未能按本合同第九条、第十条规定进行售后服务，在收到需方书面故障处理通知之日起一个月内仍未能解决故障，需方将按出现故障设备供货价格从设备余款或履约保证金中扣除。</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13.1.5本合同解除后不影响需方向供方追责的权利。</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13.2产品质量问题</w:t>
      </w:r>
    </w:p>
    <w:p>
      <w:pPr>
        <w:spacing w:line="360" w:lineRule="auto"/>
        <w:ind w:firstLine="480" w:firstLineChars="200"/>
        <w:jc w:val="left"/>
        <w:rPr>
          <w:rFonts w:ascii="宋体" w:hAnsi="宋体" w:cs="宋体"/>
          <w:color w:val="auto"/>
          <w:sz w:val="24"/>
          <w:highlight w:val="none"/>
          <w:lang w:val="zh-CN"/>
        </w:rPr>
      </w:pPr>
      <w:r>
        <w:rPr>
          <w:rFonts w:hint="eastAsia" w:ascii="宋体" w:hAnsi="宋体" w:cs="宋体"/>
          <w:color w:val="auto"/>
          <w:sz w:val="24"/>
          <w:highlight w:val="none"/>
        </w:rPr>
        <w:t>质保期内若出现质量问题</w:t>
      </w:r>
      <w:r>
        <w:rPr>
          <w:rFonts w:hint="eastAsia" w:ascii="宋体" w:hAnsi="宋体" w:cs="宋体"/>
          <w:color w:val="auto"/>
          <w:sz w:val="24"/>
          <w:highlight w:val="none"/>
          <w:lang w:val="zh-CN"/>
        </w:rPr>
        <w:t>，乙方应免费及时维修更换，如因乙方原因导致甲方利益受损，甲方有权扣留履约保证金，对于乙方造成的损失超过履约保证金的部分，甲方有权要求乙方照实际损失予以赔偿。</w:t>
      </w:r>
      <w:r>
        <w:rPr>
          <w:rFonts w:hint="eastAsia" w:ascii="宋体" w:hAnsi="宋体" w:cs="宋体"/>
          <w:color w:val="auto"/>
          <w:sz w:val="24"/>
          <w:highlight w:val="none"/>
        </w:rPr>
        <w:t>若因乙方提供相关手续资料不及时，影响甲方使用的，按照本合同误期赔偿执行</w:t>
      </w:r>
      <w:r>
        <w:rPr>
          <w:rFonts w:hint="eastAsia" w:ascii="宋体" w:hAnsi="宋体" w:cs="宋体"/>
          <w:color w:val="auto"/>
          <w:sz w:val="24"/>
          <w:highlight w:val="none"/>
          <w:lang w:val="zh-CN"/>
        </w:rPr>
        <w:t>。</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13.3货物验收问题</w:t>
      </w:r>
    </w:p>
    <w:p>
      <w:pPr>
        <w:spacing w:line="360" w:lineRule="auto"/>
        <w:ind w:firstLine="480" w:firstLineChars="200"/>
        <w:jc w:val="left"/>
        <w:rPr>
          <w:rFonts w:ascii="宋体" w:hAnsi="宋体" w:cs="宋体"/>
          <w:color w:val="auto"/>
          <w:sz w:val="24"/>
          <w:highlight w:val="none"/>
        </w:rPr>
      </w:pPr>
      <w:r>
        <w:rPr>
          <w:rFonts w:ascii="宋体" w:hAnsi="宋体" w:cs="宋体"/>
          <w:color w:val="auto"/>
          <w:sz w:val="24"/>
          <w:highlight w:val="none"/>
        </w:rPr>
        <w:t>验收不合格的</w:t>
      </w:r>
      <w:r>
        <w:rPr>
          <w:rFonts w:hint="eastAsia" w:ascii="宋体" w:hAnsi="宋体" w:cs="宋体"/>
          <w:color w:val="auto"/>
          <w:sz w:val="24"/>
          <w:highlight w:val="none"/>
        </w:rPr>
        <w:t>货物</w:t>
      </w:r>
      <w:r>
        <w:rPr>
          <w:rFonts w:ascii="宋体" w:hAnsi="宋体" w:cs="宋体"/>
          <w:color w:val="auto"/>
          <w:sz w:val="24"/>
          <w:highlight w:val="none"/>
        </w:rPr>
        <w:t>，</w:t>
      </w:r>
      <w:r>
        <w:rPr>
          <w:rFonts w:hint="eastAsia" w:ascii="宋体" w:hAnsi="宋体" w:cs="宋体"/>
          <w:color w:val="auto"/>
          <w:sz w:val="24"/>
          <w:highlight w:val="none"/>
        </w:rPr>
        <w:t>乙方</w:t>
      </w:r>
      <w:r>
        <w:rPr>
          <w:rFonts w:ascii="宋体" w:hAnsi="宋体" w:cs="宋体"/>
          <w:color w:val="auto"/>
          <w:sz w:val="24"/>
          <w:highlight w:val="none"/>
        </w:rPr>
        <w:t>按照</w:t>
      </w:r>
      <w:r>
        <w:rPr>
          <w:rFonts w:hint="eastAsia" w:ascii="宋体" w:hAnsi="宋体" w:cs="宋体"/>
          <w:color w:val="auto"/>
          <w:sz w:val="24"/>
          <w:highlight w:val="none"/>
        </w:rPr>
        <w:t>验收</w:t>
      </w:r>
      <w:r>
        <w:rPr>
          <w:rFonts w:ascii="宋体" w:hAnsi="宋体" w:cs="宋体"/>
          <w:color w:val="auto"/>
          <w:sz w:val="24"/>
          <w:highlight w:val="none"/>
        </w:rPr>
        <w:t>下达的整改期限内进行整改，整改后，仍未达到合同约定技术要求的，</w:t>
      </w:r>
      <w:r>
        <w:rPr>
          <w:rFonts w:hint="eastAsia" w:ascii="宋体" w:hAnsi="宋体" w:cs="宋体"/>
          <w:color w:val="auto"/>
          <w:sz w:val="24"/>
          <w:highlight w:val="none"/>
          <w:lang w:val="en-US" w:eastAsia="zh-CN"/>
        </w:rPr>
        <w:t>或在甲方指定的期限内未完成整改的</w:t>
      </w:r>
      <w:r>
        <w:rPr>
          <w:rFonts w:ascii="宋体" w:hAnsi="宋体" w:cs="宋体"/>
          <w:color w:val="auto"/>
          <w:sz w:val="24"/>
          <w:highlight w:val="none"/>
        </w:rPr>
        <w:t>，甲方有权单方解除合同，所产生的费用由乙方承担，</w:t>
      </w:r>
      <w:r>
        <w:rPr>
          <w:rFonts w:hint="eastAsia" w:ascii="宋体" w:hAnsi="宋体" w:cs="宋体"/>
          <w:color w:val="auto"/>
          <w:sz w:val="24"/>
          <w:highlight w:val="none"/>
        </w:rPr>
        <w:t>同时甲方扣留全部履约保证金，对于乙方造成的损失超过履约保证金的部分，甲方有权要求乙方照实际损失予以赔偿。乙方须退还甲方已付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十四、不可抗力</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14.1 由于不可抗力事件，导致任何一方不能执行本协议中的部分或全部义务时，应及时通知对方，受不可抗力影响的一方在不可抗力影响范围内免除责任。</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14.2 本条所述的“不可抗力”系指那些双方无法控制，不可预见的事件，但不包括供需双方的违约或疏忽。这些事件包括但不限于：战争、严重火灾、洪水、台风、地震以及其它供需双方商定的事件(供需双方认定国家政策重大变化属不可抗力)。</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14.3 在不可抗力事件发生后，当事方应尽快以书面形式将不可抗力的情况和原因以及因不可抗力导致合同不能履行的证据等通知对方。供需双方应尽实际可能继续履行合同义务，并积极寻求采取合理的方案履行不受不可抗力影响的其他事项。供需双方应通过友好协商在合理的时间内达成进一步履行合同的协议。</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十五、税费</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15.1 根据现行法律规定对需方征收的与本合同有关的一切税费均由需方负担。</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15.2 根据现行法律规定对供方征收的与本合同有关的一切税费均由供方负担。</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15.3 在中国境外发生的与执行本合同有关的一切税费均由供方负担。</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十六、争端的解决</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16.1 供需双方应通过友好协商，解决在执行本合同过程中所发生的或与本合同有关的一切争端。如从协商开始十（10）天内仍不能解决，</w:t>
      </w:r>
      <w:r>
        <w:rPr>
          <w:rFonts w:hint="eastAsia" w:ascii="宋体" w:hAnsi="宋体" w:cs="宋体"/>
          <w:color w:val="auto"/>
          <w:sz w:val="24"/>
          <w:highlight w:val="none"/>
          <w:lang w:val="en-US" w:eastAsia="zh-CN"/>
        </w:rPr>
        <w:t>可向法院申请诉前调解</w:t>
      </w:r>
      <w:r>
        <w:rPr>
          <w:rFonts w:hint="eastAsia" w:ascii="宋体" w:hAnsi="宋体" w:cs="宋体"/>
          <w:color w:val="auto"/>
          <w:sz w:val="24"/>
          <w:highlight w:val="none"/>
        </w:rPr>
        <w:t>。</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16.2 如果调解不成，直接进入诉讼程序</w:t>
      </w:r>
      <w:r>
        <w:rPr>
          <w:rFonts w:hint="eastAsia" w:ascii="宋体" w:hAnsi="宋体" w:cs="宋体"/>
          <w:color w:val="auto"/>
          <w:sz w:val="24"/>
          <w:highlight w:val="none"/>
          <w:lang w:eastAsia="zh-CN"/>
        </w:rPr>
        <w:t>，</w:t>
      </w:r>
      <w:r>
        <w:rPr>
          <w:rFonts w:hint="eastAsia" w:ascii="宋体" w:hAnsi="宋体" w:cs="宋体"/>
          <w:color w:val="auto"/>
          <w:sz w:val="24"/>
          <w:highlight w:val="none"/>
        </w:rPr>
        <w:t>供需双方的任何一方可以向合同签订地</w:t>
      </w:r>
      <w:r>
        <w:rPr>
          <w:rFonts w:hint="eastAsia" w:ascii="宋体" w:hAnsi="宋体" w:cs="宋体"/>
          <w:color w:val="auto"/>
          <w:sz w:val="24"/>
          <w:highlight w:val="none"/>
          <w:lang w:eastAsia="zh-Hans"/>
        </w:rPr>
        <w:t>所在地</w:t>
      </w:r>
      <w:r>
        <w:rPr>
          <w:rFonts w:hint="eastAsia" w:ascii="宋体" w:hAnsi="宋体" w:cs="宋体"/>
          <w:color w:val="auto"/>
          <w:sz w:val="24"/>
          <w:highlight w:val="none"/>
        </w:rPr>
        <w:t>人民法院提起诉讼。</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16.3诉讼费除法院另有裁决外均由败诉方负担。</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16.4在诉讼期间，除正在进行诉讼的部分外，本合同的其它部分应继续执行。</w:t>
      </w:r>
    </w:p>
    <w:p>
      <w:pPr>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16.5 本合同产生争端，双方同意按《总体协议》第八条执行。</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十七、违约终止合同</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17.1 在需方因供方违约而按合同约定采取的任何补救措施不受影响的情况下，需方可在下列情况下向供方发出书面通知，提出</w:t>
      </w:r>
      <w:r>
        <w:rPr>
          <w:rFonts w:hint="eastAsia" w:ascii="宋体" w:hAnsi="宋体" w:cs="宋体"/>
          <w:color w:val="auto"/>
          <w:sz w:val="24"/>
          <w:highlight w:val="none"/>
          <w:lang w:val="en-US" w:eastAsia="zh-CN"/>
        </w:rPr>
        <w:t>解除</w:t>
      </w:r>
      <w:r>
        <w:rPr>
          <w:rFonts w:hint="eastAsia" w:ascii="宋体" w:hAnsi="宋体" w:cs="宋体"/>
          <w:color w:val="auto"/>
          <w:sz w:val="24"/>
          <w:highlight w:val="none"/>
        </w:rPr>
        <w:t>部分或全部合同。供</w:t>
      </w:r>
      <w:r>
        <w:rPr>
          <w:rFonts w:hint="eastAsia" w:ascii="宋体" w:hAnsi="宋体"/>
          <w:color w:val="auto"/>
          <w:sz w:val="24"/>
          <w:highlight w:val="none"/>
        </w:rPr>
        <w:t>方因其违约而给需方造成损害的，需方有权扣留全部履约保证金，对于供方造成的损失超过履约保证金的部分，需方有权要求供方照实际损失予以赔偿。</w:t>
      </w:r>
      <w:r>
        <w:rPr>
          <w:rFonts w:hint="eastAsia" w:ascii="宋体" w:hAnsi="宋体"/>
          <w:color w:val="auto"/>
          <w:sz w:val="24"/>
          <w:highlight w:val="none"/>
          <w:lang w:val="en-US" w:eastAsia="zh-CN"/>
        </w:rPr>
        <w:t>如甲方选择解除合同的，乙方须退还甲方已付货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（1）如果供方未能在合同规定的限期或需方同意延长的限期内提供部分或全部货物和服务。</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（2）如果供方未能履行合同规定的全部或部分义务。</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3）如果需方认为供方在本合同的竞争或实施中有腐败和欺诈行为。为此，定义如下：“腐败行为”是指提供、给予、接受或索取任何有价值的东西来影响采购人员在采购过程或合同实施过程中的行为；“欺诈行为”是指为了影响采购过程或合同实施过程而谎报事实，损害采购人的利益，包括供货单位之间串通，人为地使供货活动丧失竞争性，损害采购人所能获得的权益。</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17.2 如果需方根据上述第17.1款的规定，终止了全部或部分合同，需方可以依其认为适当的条件和方法购买与未交货物类似的货物，供方应对购买类似货物所超出的那部分费用负责。供方提交的履约保证金将被作为需方采取上述补救措施的购买资金的一部分。并且，供方应继续履行合同中未终止的部分。</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十八、破产终止合同</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18.1 如果供方破产或丧失清偿能力，需方可在任何时候以书面形式通知供方终止合同而不给供方补偿。该终止合同将不损害或影响需方已经采取或将要采取任何补救措施的权利。</w:t>
      </w:r>
    </w:p>
    <w:p>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十九、合同转让和分包</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供方不得部分转让和分包或全部转让和分包其应履行的合同义务，否则需方有权单方解除本合同并要求供方支付合同总价款5%的违约金。</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二十、适用法律</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本合同按照中华人民共和国的现行法律进行解释。</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二十一、合同生效</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本合同在供需双方法定代表人或其授权代理人签字并加盖公章并且吉林省消防救援总队收到供方提交的履约保证金后生效。 </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二十二、合同附件</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下列文件构成本合同不可分割的组成部分，与本合同具有同等法律效力：</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1、招标文件及澄清、补充文件；</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2、供方的投标文件、在投标期间的书面承诺文件和售后服务承诺书；        </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3、产品样本、说明书；</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4、中标通知书；</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5、政府采购验收报告单；</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6、合同的其他附件：</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上述合同附件如果有不一致之处，以日期在后的和对甲方方有利的为准。</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二十三、合同修改</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除供需双方签署书面修改、补充协议，并成为本合同不可分割的一部分之外，本合同条件不得有任何变化或修改。</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二十四、合同备案</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自本合同订立之日起七个工作日内，由需方负责向政府采购监督管理部门备案。</w:t>
      </w:r>
    </w:p>
    <w:p>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二十五、政府采购法对政府采购合同变更终止的规定：</w:t>
      </w:r>
      <w:r>
        <w:rPr>
          <w:rFonts w:hint="eastAsia" w:ascii="宋体" w:hAnsi="宋体" w:cs="宋体"/>
          <w:color w:val="auto"/>
          <w:sz w:val="24"/>
          <w:highlight w:val="none"/>
        </w:rPr>
        <w:t>“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在本合同中，双方当事人指供需双方。</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Hans"/>
        </w:rPr>
        <w:t>甲</w:t>
      </w:r>
      <w:r>
        <w:rPr>
          <w:rFonts w:hint="eastAsia" w:ascii="宋体" w:hAnsi="宋体" w:cs="宋体"/>
          <w:color w:val="auto"/>
          <w:sz w:val="24"/>
          <w:highlight w:val="none"/>
        </w:rPr>
        <w:t>方（</w:t>
      </w:r>
      <w:r>
        <w:rPr>
          <w:rFonts w:hint="eastAsia" w:ascii="宋体" w:hAnsi="宋体" w:cs="宋体"/>
          <w:color w:val="auto"/>
          <w:sz w:val="24"/>
          <w:highlight w:val="none"/>
          <w:lang w:eastAsia="zh-Hans"/>
        </w:rPr>
        <w:t>盖章</w:t>
      </w: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lang w:eastAsia="zh-Hans"/>
        </w:rPr>
        <w:t>乙</w:t>
      </w:r>
      <w:r>
        <w:rPr>
          <w:rFonts w:hint="eastAsia" w:ascii="宋体" w:hAnsi="宋体" w:cs="宋体"/>
          <w:color w:val="auto"/>
          <w:sz w:val="24"/>
          <w:highlight w:val="none"/>
        </w:rPr>
        <w:t>方（</w:t>
      </w:r>
      <w:r>
        <w:rPr>
          <w:rFonts w:hint="eastAsia" w:ascii="宋体" w:hAnsi="宋体" w:cs="宋体"/>
          <w:color w:val="auto"/>
          <w:sz w:val="24"/>
          <w:highlight w:val="none"/>
          <w:lang w:eastAsia="zh-Hans"/>
        </w:rPr>
        <w:t>盖章</w:t>
      </w:r>
      <w:r>
        <w:rPr>
          <w:rFonts w:hint="eastAsia" w:ascii="宋体" w:hAnsi="宋体" w:cs="宋体"/>
          <w:color w:val="auto"/>
          <w:sz w:val="24"/>
          <w:highlight w:val="none"/>
        </w:rPr>
        <w:t>）：</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地址：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地址：    </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法定代表人 ：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法定代表人 :              </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或授权</w:t>
      </w:r>
      <w:r>
        <w:rPr>
          <w:rFonts w:hint="eastAsia" w:ascii="宋体" w:hAnsi="宋体" w:cs="宋体"/>
          <w:color w:val="auto"/>
          <w:sz w:val="24"/>
          <w:highlight w:val="none"/>
          <w:lang w:eastAsia="zh-Hans"/>
        </w:rPr>
        <w:t>代理</w:t>
      </w:r>
      <w:r>
        <w:rPr>
          <w:rFonts w:hint="eastAsia" w:ascii="宋体" w:hAnsi="宋体" w:cs="宋体"/>
          <w:color w:val="auto"/>
          <w:sz w:val="24"/>
          <w:highlight w:val="none"/>
        </w:rPr>
        <w:t xml:space="preserve">人：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或授权代理人：</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邮政编码：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邮政编码：</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电话：                                  电话：</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传    真：                              传    真：</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联 系 人：                              联 系 人：</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开户银行：                              开户银行：</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账户名称:                               账户名称：</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账    号：                              账    号：</w:t>
      </w:r>
    </w:p>
    <w:p>
      <w:pPr>
        <w:spacing w:line="360" w:lineRule="auto"/>
        <w:ind w:firstLine="480" w:firstLineChars="200"/>
        <w:outlineLvl w:val="0"/>
        <w:rPr>
          <w:rFonts w:hint="eastAsia" w:ascii="宋体" w:hAnsi="宋体" w:eastAsia="宋体" w:cs="宋体"/>
          <w:color w:val="auto"/>
          <w:sz w:val="24"/>
          <w:highlight w:val="none"/>
          <w:lang w:eastAsia="zh-Hans"/>
        </w:rPr>
      </w:pPr>
      <w:bookmarkStart w:id="71" w:name="_Toc7938"/>
      <w:bookmarkStart w:id="72" w:name="_Toc13078"/>
      <w:r>
        <w:rPr>
          <w:rFonts w:hint="eastAsia" w:ascii="宋体" w:hAnsi="宋体" w:cs="宋体"/>
          <w:color w:val="auto"/>
          <w:sz w:val="24"/>
          <w:highlight w:val="none"/>
          <w:lang w:eastAsia="zh-Hans"/>
        </w:rPr>
        <w:t xml:space="preserve">年   月  日          </w:t>
      </w:r>
      <w:r>
        <w:rPr>
          <w:rFonts w:hint="eastAsia" w:ascii="宋体" w:hAnsi="宋体" w:cs="宋体"/>
          <w:color w:val="auto"/>
          <w:sz w:val="24"/>
          <w:highlight w:val="none"/>
        </w:rPr>
        <w:t xml:space="preserve">   </w:t>
      </w:r>
      <w:r>
        <w:rPr>
          <w:rFonts w:hint="eastAsia" w:ascii="宋体" w:hAnsi="宋体" w:cs="宋体"/>
          <w:color w:val="auto"/>
          <w:sz w:val="24"/>
          <w:highlight w:val="none"/>
          <w:lang w:eastAsia="zh-Hans"/>
        </w:rPr>
        <w:t xml:space="preserve">             </w:t>
      </w:r>
      <w:r>
        <w:rPr>
          <w:rFonts w:hint="eastAsia" w:ascii="宋体" w:hAnsi="宋体" w:cs="宋体"/>
          <w:color w:val="auto"/>
          <w:sz w:val="24"/>
          <w:highlight w:val="none"/>
        </w:rPr>
        <w:t xml:space="preserve">   </w:t>
      </w:r>
      <w:r>
        <w:rPr>
          <w:rFonts w:hint="eastAsia" w:ascii="宋体" w:hAnsi="宋体" w:cs="宋体"/>
          <w:color w:val="auto"/>
          <w:sz w:val="24"/>
          <w:highlight w:val="none"/>
          <w:lang w:eastAsia="zh-Hans"/>
        </w:rPr>
        <w:t>年   月  日</w:t>
      </w:r>
      <w:bookmarkEnd w:id="71"/>
      <w:bookmarkEnd w:id="72"/>
    </w:p>
    <w:p>
      <w:pPr>
        <w:rPr>
          <w:rFonts w:hint="eastAsia" w:ascii="宋体" w:hAnsi="宋体" w:eastAsia="宋体" w:cs="宋体"/>
          <w:color w:val="auto"/>
          <w:sz w:val="24"/>
          <w:highlight w:val="none"/>
          <w:lang w:eastAsia="zh-Hans"/>
        </w:rPr>
      </w:pPr>
    </w:p>
    <w:p>
      <w:pPr>
        <w:pStyle w:val="4"/>
        <w:outlineLvl w:val="9"/>
        <w:rPr>
          <w:rFonts w:hint="eastAsia" w:ascii="宋体" w:hAnsi="宋体" w:eastAsia="宋体" w:cs="宋体"/>
          <w:color w:val="auto"/>
          <w:sz w:val="24"/>
          <w:highlight w:val="none"/>
          <w:lang w:eastAsia="zh-Hans"/>
        </w:rPr>
      </w:pPr>
    </w:p>
    <w:p>
      <w:pPr>
        <w:pStyle w:val="7"/>
        <w:rPr>
          <w:rFonts w:hint="eastAsia" w:ascii="宋体" w:hAnsi="宋体" w:eastAsia="宋体" w:cs="宋体"/>
          <w:color w:val="auto"/>
          <w:sz w:val="24"/>
          <w:highlight w:val="none"/>
          <w:lang w:eastAsia="zh-Hans"/>
        </w:rPr>
      </w:pPr>
    </w:p>
    <w:p>
      <w:pPr>
        <w:pStyle w:val="7"/>
        <w:rPr>
          <w:rFonts w:hint="eastAsia" w:ascii="宋体" w:hAnsi="宋体" w:eastAsia="宋体" w:cs="宋体"/>
          <w:color w:val="auto"/>
          <w:sz w:val="24"/>
          <w:highlight w:val="none"/>
          <w:lang w:eastAsia="zh-Hans"/>
        </w:rPr>
      </w:pPr>
    </w:p>
    <w:p>
      <w:pPr>
        <w:pStyle w:val="7"/>
        <w:rPr>
          <w:rFonts w:hint="eastAsia" w:ascii="宋体" w:hAnsi="宋体" w:eastAsia="宋体" w:cs="宋体"/>
          <w:color w:val="auto"/>
          <w:sz w:val="24"/>
          <w:highlight w:val="none"/>
          <w:lang w:eastAsia="zh-Hans"/>
        </w:rPr>
      </w:pPr>
    </w:p>
    <w:p>
      <w:pPr>
        <w:pStyle w:val="7"/>
        <w:rPr>
          <w:rFonts w:hint="eastAsia" w:ascii="宋体" w:hAnsi="宋体" w:eastAsia="宋体" w:cs="宋体"/>
          <w:color w:val="auto"/>
          <w:sz w:val="24"/>
          <w:highlight w:val="none"/>
          <w:lang w:eastAsia="zh-Hans"/>
        </w:rPr>
      </w:pPr>
    </w:p>
    <w:p>
      <w:pPr>
        <w:pStyle w:val="7"/>
        <w:rPr>
          <w:rFonts w:hint="eastAsia" w:ascii="宋体" w:hAnsi="宋体" w:eastAsia="宋体" w:cs="宋体"/>
          <w:color w:val="auto"/>
          <w:sz w:val="24"/>
          <w:highlight w:val="none"/>
          <w:lang w:eastAsia="zh-Hans"/>
        </w:rPr>
      </w:pPr>
    </w:p>
    <w:p>
      <w:pPr>
        <w:numPr>
          <w:ilvl w:val="0"/>
          <w:numId w:val="5"/>
        </w:numPr>
        <w:spacing w:line="360" w:lineRule="auto"/>
        <w:jc w:val="center"/>
        <w:outlineLvl w:val="0"/>
        <w:rPr>
          <w:rFonts w:hint="eastAsia" w:ascii="宋体" w:hAnsi="宋体" w:eastAsia="宋体" w:cs="宋体"/>
          <w:b/>
          <w:color w:val="auto"/>
          <w:sz w:val="36"/>
          <w:szCs w:val="36"/>
          <w:highlight w:val="none"/>
        </w:rPr>
      </w:pPr>
      <w:bookmarkStart w:id="73" w:name="_Toc9767"/>
      <w:r>
        <w:rPr>
          <w:rFonts w:hint="eastAsia" w:ascii="宋体" w:hAnsi="宋体" w:eastAsia="宋体" w:cs="宋体"/>
          <w:b/>
          <w:color w:val="auto"/>
          <w:sz w:val="36"/>
          <w:szCs w:val="36"/>
          <w:highlight w:val="none"/>
        </w:rPr>
        <w:t>技术</w:t>
      </w:r>
      <w:bookmarkStart w:id="74" w:name="_Toc137493721"/>
      <w:bookmarkStart w:id="75" w:name="_Toc142819438"/>
      <w:bookmarkStart w:id="76" w:name="_Toc419230801"/>
      <w:bookmarkStart w:id="77" w:name="_Toc356283733"/>
      <w:bookmarkStart w:id="78" w:name="_Toc155544236"/>
      <w:r>
        <w:rPr>
          <w:rFonts w:hint="eastAsia" w:ascii="宋体" w:hAnsi="宋体" w:eastAsia="宋体" w:cs="宋体"/>
          <w:b/>
          <w:color w:val="auto"/>
          <w:sz w:val="36"/>
          <w:szCs w:val="36"/>
          <w:highlight w:val="none"/>
        </w:rPr>
        <w:t>需求</w:t>
      </w:r>
      <w:bookmarkEnd w:id="73"/>
      <w:bookmarkEnd w:id="74"/>
      <w:bookmarkEnd w:id="75"/>
      <w:bookmarkEnd w:id="76"/>
      <w:bookmarkEnd w:id="77"/>
      <w:bookmarkEnd w:id="78"/>
      <w:bookmarkStart w:id="79" w:name="_Toc32331"/>
    </w:p>
    <w:p>
      <w:pPr>
        <w:spacing w:line="360" w:lineRule="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 xml:space="preserve"> 空气呼吸器</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一、总体要求</w:t>
      </w:r>
    </w:p>
    <w:p>
      <w:pPr>
        <w:spacing w:line="360" w:lineRule="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*1、缺氧或有毒现场作业时的呼吸防护，符合现行《正压式消防空气呼吸器》GA124-2013标准要求，同时提供带有</w:t>
      </w:r>
      <w:bookmarkStart w:id="125" w:name="_GoBack"/>
      <w:bookmarkEnd w:id="125"/>
      <w:r>
        <w:rPr>
          <w:rFonts w:hint="eastAsia" w:ascii="宋体" w:hAnsi="宋体" w:cs="宋体"/>
          <w:b/>
          <w:bCs/>
          <w:color w:val="auto"/>
          <w:sz w:val="24"/>
          <w:szCs w:val="24"/>
          <w:highlight w:val="none"/>
          <w:lang w:val="en-US" w:eastAsia="zh-CN"/>
        </w:rPr>
        <w:t>CMA</w:t>
      </w:r>
      <w:r>
        <w:rPr>
          <w:rFonts w:hint="eastAsia" w:ascii="宋体" w:hAnsi="宋体" w:cs="Times New Roman"/>
          <w:b/>
          <w:bCs/>
          <w:color w:val="FF0000"/>
          <w:sz w:val="24"/>
          <w:szCs w:val="24"/>
          <w:highlight w:val="none"/>
          <w:lang w:val="en-US" w:eastAsia="zh-CN"/>
        </w:rPr>
        <w:t>或CNAS</w:t>
      </w:r>
      <w:r>
        <w:rPr>
          <w:rFonts w:hint="eastAsia" w:ascii="宋体" w:hAnsi="宋体" w:cs="宋体"/>
          <w:b/>
          <w:bCs/>
          <w:color w:val="auto"/>
          <w:sz w:val="24"/>
          <w:szCs w:val="24"/>
          <w:highlight w:val="none"/>
          <w:lang w:val="en-US" w:eastAsia="zh-CN"/>
        </w:rPr>
        <w:t>标识的检测报告。</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二、技术要求</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1、阻燃性能：</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▲1.1背具、背具带、带扣和气瓶防护套在阻燃性能试验后，不应出现熔融现象，且续燃时间不应大于1s。</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1.2全面罩、中压导气管、供气阀，续燃时间不应大于1s。</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▲1.3整机气密性能：（MPa）阻燃性能试验后，整机经气密性能试验，其压力表的压力指示值在1min内的下降≤1MPa。</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2、抗热老化性能：在气密性能试验后，压力指示值在1min内的下降≤1MPa；中压导气管经压力试验后，应无漏气和异常变形。</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★3、佩戴质量≤12kg。</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4、整机气密性能：在气密性能试验后，整机经气密性能试验，其压力表的压力指示值在1min内的下降≤1MPa。</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★5、动态呼吸阻力：在气瓶压力30MPa～2MPa，呼气量40×2.5L/min时，吸气阻力≤500Pa，呼气阻力≤1000Pa；在气瓶压力2MPa～1MPa，呼气量25×2L/min时，吸气阻力≤300Pa，呼气阻力≤600Pa。</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6、耐高温性能：在高温试验后，各零部件应无异常变形、粘连、脱胶现象；以呼吸频率40次/min，呼吸流量100L/min呼吸，呼吸器的全面罩内应保持正压，且呼气阻力≤1000Pa。</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7、耐低温性能：在低温试验后，各零部件应无开裂、异常收缩、发脆现象；以呼吸频率25次/min，呼吸流量50L/min呼吸，呼吸器的全面罩内应保持正压，且呼气阻力≤650Pa。</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8、耐辐射热性能：在气密性能试验后，其压力表的压力指示值在1min内的下降≤1MPa；气瓶压力30MPa～2MPa呼吸量40×2.5L/min时，吸气阻力≤350Pa，呼气阻力≤800Pa。</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9、静态压力≤350Pa。</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★10、警报器性能：报警压力为5.5±0.5MPa，连续声响时间至少应以90dB(A)的声强持续15s，平均耗气量≤5L/min。</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11、全面罩性能：</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11.1总视野保留率≥70%。</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11.2双目视野保留率≥65%。</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11.3镜片透光率≥95%。</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11.4吸入气体中二氧化碳含量≤0.9%。</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11.5全面罩为大视野全景面屏，球型或楔形根据采购人需求提供。</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11.6全面罩具有大、中、小号面罩可选。</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11.7全面罩头网采用强度高、耐高温、阻燃材料。</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11.8全面罩胶体采用硅胶材质，不出现僵化、硬化现象，对皮肤不造成过敏。</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12、减压器性能：</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12.1输出压力应在设计值（0.5MPa～0.9MPa）范围内。</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12.2减压器输出压力调整部分应设置锁紧装置。</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12.3减压器输出端应设置安全阀。</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13、安全阀性能：关闭压力不应小于减压器输出压力最大设计值0.9MPa。</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14、供气阀性能：</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14.1应设置自动正压机构。</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14.2供气阀与面罩的接插方式为360°快速接插。</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15、压力表：</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15.1压力表与警报器为一体化设计、</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15.2经24h水下1m的浸泡后，压力表内不应有水。</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15.3漏气量≤20L/min。</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15.4外壳配备橡胶防护套。</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15.5压力表的连接为活动式（360°旋转），表盘荧光显示，具有防水、防爆、夜视功能。</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16、压力平视显示装置：</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16.1面罩配有压力平视显示装置，无线连接。</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★16.2采用红、黄、绿不同颜色的LED灯光分别显示压力范围方式。</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16.3当采用无线连接时，发射装置与显示装置的配对应具有唯一性。</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16.4低电压状态下的工作时间≥2h。</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16.5压力平视显示装置具有低压报警功能。</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16.6压力平视显示装置和发射模块均具备灯光提醒功能。</w:t>
      </w:r>
    </w:p>
    <w:p>
      <w:pPr>
        <w:spacing w:line="360" w:lineRule="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*16.7防爆性能：须提供防爆合格证复印件。</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16.8工作温度-30℃～50℃。</w:t>
      </w:r>
    </w:p>
    <w:p>
      <w:pPr>
        <w:spacing w:line="360" w:lineRule="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*16.9外壳护等级≥IP67。</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17、中压导气管：经挤压试验后，空气流量的降低百分比为0。</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18、快插接头：输入接头与输出接头的连接应方便、可靠，连接后不应产生漏气现象，能自锁。</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★19、气瓶：公称容积为6.8L，优质全缠绕碳纤维复合气瓶，气瓶工作压力30Mpa。气瓶顶端和底部都配有橡胶保护套。</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20、气瓶瓶阀：</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20.1气瓶瓶阀安全膜片爆破压力≥40～45Mpa。</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20.2气瓶瓶阀带有具有防误操作功能。</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21、他救面罩：</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21.1由快速公接头、供气管、面罩或头套组成。</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三、其他要求：</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★1、全面罩、供气阀、减压阀、警报器、背架、压力平视装置，主要组成部件应为同一品牌，便于统一维修保养。</w:t>
      </w:r>
    </w:p>
    <w:p>
      <w:pPr>
        <w:spacing w:line="360" w:lineRule="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*2、提供带有CMA</w:t>
      </w:r>
      <w:r>
        <w:rPr>
          <w:rFonts w:hint="eastAsia" w:ascii="宋体" w:hAnsi="宋体" w:cs="Times New Roman"/>
          <w:b/>
          <w:bCs/>
          <w:color w:val="FF0000"/>
          <w:sz w:val="24"/>
          <w:szCs w:val="24"/>
          <w:highlight w:val="none"/>
          <w:lang w:val="en-US" w:eastAsia="zh-CN"/>
        </w:rPr>
        <w:t>或CNAS</w:t>
      </w:r>
      <w:r>
        <w:rPr>
          <w:rFonts w:hint="eastAsia" w:ascii="宋体" w:hAnsi="宋体" w:cs="宋体"/>
          <w:b/>
          <w:bCs/>
          <w:color w:val="auto"/>
          <w:sz w:val="24"/>
          <w:szCs w:val="24"/>
          <w:highlight w:val="none"/>
          <w:lang w:val="en-US" w:eastAsia="zh-CN"/>
        </w:rPr>
        <w:t>标识的检验报告复印件和消防产品认证证书复印件、压力平视显示装置防爆合格证复印件。</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3、每台呼吸器的全面罩、供气阀、减压器、警报器、中压导气管、背具、气瓶、气瓶瓶阀上应有型号及投标人名称或注册商标。</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4、每台呼吸器的背具上应有以下标志内容：制造商名称、产品名称及型号、生产日期和批号、认证标志。</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★5、包装：每台呼吸器应有包装箱，包装箱包明显处有“制造商名称、地址、产品名称及型号、生产日期和批号、产品执行标准的代号”标志内容。</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6、包装箱包内有“中文使用维护手册、装箱单、合格证、备件及工具”。使用维护手册应有以下内容：使用方法和安全注意事项；维修、消毒、存贮及检查方面的指导；故障、原因和排除方法；气瓶内空气成分的说明；其他必要的说明。</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7、供货时，采购人会对供货成品抽样送国家消防装备质检中心委托检验，样品和检品费用由中标投标人承担，中标投标人向采购人提供总数为采购数量外加2个的供货数量。</w:t>
      </w:r>
    </w:p>
    <w:p>
      <w:pPr>
        <w:spacing w:line="360" w:lineRule="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8投标时，需提供样品</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四、可能采取的验收办法：</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1、可能邀请未中标厂家人员进行验收。</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2、对整机气密性进行测试，其压力表的压力指示值在1min内的下降≤1MPa。</w:t>
      </w:r>
    </w:p>
    <w:p>
      <w:pPr>
        <w:spacing w:line="360" w:lineRule="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3、对面罩的压力平视显示装置连接匹配进行实际测试。</w:t>
      </w:r>
    </w:p>
    <w:p>
      <w:pPr>
        <w:numPr>
          <w:ilvl w:val="0"/>
          <w:numId w:val="6"/>
        </w:numPr>
        <w:spacing w:line="360" w:lineRule="auto"/>
        <w:rPr>
          <w:rFonts w:hint="eastAsia" w:ascii="宋体" w:hAnsi="宋体" w:cs="宋体"/>
          <w:b w:val="0"/>
          <w:bCs w:val="0"/>
          <w:color w:val="auto"/>
          <w:sz w:val="24"/>
          <w:szCs w:val="24"/>
          <w:highlight w:val="none"/>
          <w:lang w:val="en-US" w:eastAsia="zh-CN"/>
        </w:rPr>
        <w:sectPr>
          <w:headerReference r:id="rId8" w:type="default"/>
          <w:footerReference r:id="rId9" w:type="default"/>
          <w:pgSz w:w="11906" w:h="16838"/>
          <w:pgMar w:top="1361" w:right="1304" w:bottom="1247" w:left="1304" w:header="680" w:footer="680" w:gutter="0"/>
          <w:cols w:space="720" w:num="1"/>
          <w:docGrid w:linePitch="312" w:charSpace="0"/>
        </w:sectPr>
      </w:pPr>
    </w:p>
    <w:p>
      <w:pPr>
        <w:spacing w:line="360" w:lineRule="auto"/>
        <w:jc w:val="center"/>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第六章</w:t>
      </w:r>
      <w:r>
        <w:rPr>
          <w:rFonts w:hint="eastAsia" w:ascii="宋体" w:hAnsi="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投标文件构成及格式</w:t>
      </w:r>
      <w:bookmarkEnd w:id="79"/>
    </w:p>
    <w:p>
      <w:pPr>
        <w:spacing w:line="360" w:lineRule="auto"/>
        <w:ind w:left="420"/>
        <w:jc w:val="center"/>
        <w:rPr>
          <w:rFonts w:hint="eastAsia" w:ascii="宋体" w:hAnsi="宋体" w:eastAsia="宋体" w:cs="宋体"/>
          <w:color w:val="auto"/>
          <w:sz w:val="24"/>
          <w:highlight w:val="none"/>
        </w:rPr>
      </w:pPr>
    </w:p>
    <w:p>
      <w:pPr>
        <w:pStyle w:val="14"/>
        <w:spacing w:line="360" w:lineRule="auto"/>
        <w:outlineLvl w:val="0"/>
        <w:rPr>
          <w:rFonts w:hint="eastAsia" w:ascii="宋体" w:hAnsi="宋体" w:eastAsia="宋体" w:cs="宋体"/>
          <w:bCs/>
          <w:color w:val="auto"/>
          <w:szCs w:val="24"/>
          <w:highlight w:val="none"/>
        </w:rPr>
      </w:pPr>
      <w:bookmarkStart w:id="80" w:name="_Toc19528"/>
      <w:r>
        <w:rPr>
          <w:rFonts w:hint="eastAsia" w:ascii="宋体" w:hAnsi="宋体" w:eastAsia="宋体" w:cs="宋体"/>
          <w:bCs/>
          <w:color w:val="auto"/>
          <w:szCs w:val="24"/>
          <w:highlight w:val="none"/>
        </w:rPr>
        <w:t>采购人特别声明：</w:t>
      </w:r>
      <w:bookmarkEnd w:id="80"/>
    </w:p>
    <w:p>
      <w:pPr>
        <w:pStyle w:val="35"/>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投标人应提交本“投标文件格式”所列举和要求的全部投标文件，并且所提交的投标文件都是真实有效的，否则，将是投标人的风险。</w:t>
      </w:r>
    </w:p>
    <w:p>
      <w:pPr>
        <w:spacing w:line="360" w:lineRule="auto"/>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格式一</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bCs/>
          <w:color w:val="auto"/>
          <w:sz w:val="24"/>
          <w:szCs w:val="28"/>
          <w:highlight w:val="none"/>
        </w:rPr>
        <w:t>开标一览表（格式）</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项目名称：</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项目编号：</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投标人名称（加盖公章）：</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eastAsia="zh-CN"/>
        </w:rPr>
        <w:t>法定代表人</w:t>
      </w:r>
      <w:r>
        <w:rPr>
          <w:rFonts w:hint="eastAsia" w:ascii="宋体" w:hAnsi="宋体" w:eastAsia="宋体" w:cs="宋体"/>
          <w:bCs/>
          <w:color w:val="auto"/>
          <w:sz w:val="24"/>
          <w:highlight w:val="none"/>
        </w:rPr>
        <w:t>或授权代理人（签字）：</w:t>
      </w:r>
    </w:p>
    <w:p>
      <w:pPr>
        <w:spacing w:line="360" w:lineRule="auto"/>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时间：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日</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single"/>
        </w:rPr>
        <w:t>元</w:t>
      </w:r>
    </w:p>
    <w:tbl>
      <w:tblPr>
        <w:tblStyle w:val="24"/>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138"/>
        <w:gridCol w:w="703"/>
        <w:gridCol w:w="904"/>
        <w:gridCol w:w="913"/>
        <w:gridCol w:w="1245"/>
        <w:gridCol w:w="1095"/>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0"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3138"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投标货物名称</w:t>
            </w:r>
          </w:p>
        </w:tc>
        <w:tc>
          <w:tcPr>
            <w:tcW w:w="70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单价</w:t>
            </w:r>
          </w:p>
        </w:tc>
        <w:tc>
          <w:tcPr>
            <w:tcW w:w="904"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数量</w:t>
            </w:r>
          </w:p>
        </w:tc>
        <w:tc>
          <w:tcPr>
            <w:tcW w:w="91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总价</w:t>
            </w:r>
          </w:p>
        </w:tc>
        <w:tc>
          <w:tcPr>
            <w:tcW w:w="1245"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color w:val="auto"/>
                <w:sz w:val="24"/>
                <w:highlight w:val="none"/>
              </w:rPr>
              <w:t>合同履行期限</w:t>
            </w:r>
            <w:r>
              <w:rPr>
                <w:rFonts w:hint="eastAsia" w:ascii="宋体" w:hAnsi="宋体" w:eastAsia="宋体" w:cs="宋体"/>
                <w:color w:val="auto"/>
                <w:sz w:val="24"/>
                <w:highlight w:val="none"/>
                <w:lang w:eastAsia="zh-CN"/>
              </w:rPr>
              <w:t>（交货期）</w:t>
            </w:r>
          </w:p>
        </w:tc>
        <w:tc>
          <w:tcPr>
            <w:tcW w:w="1095" w:type="dxa"/>
            <w:vAlign w:val="center"/>
          </w:tcPr>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投标保证金</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有/无</w:t>
            </w:r>
            <w:r>
              <w:rPr>
                <w:rFonts w:hint="eastAsia" w:ascii="宋体" w:hAnsi="宋体" w:eastAsia="宋体" w:cs="宋体"/>
                <w:bCs/>
                <w:color w:val="auto"/>
                <w:sz w:val="24"/>
                <w:highlight w:val="none"/>
                <w:lang w:eastAsia="zh-CN"/>
              </w:rPr>
              <w:t>）</w:t>
            </w:r>
          </w:p>
        </w:tc>
        <w:tc>
          <w:tcPr>
            <w:tcW w:w="720" w:type="dxa"/>
            <w:vAlign w:val="center"/>
          </w:tcPr>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9468" w:type="dxa"/>
            <w:gridSpan w:val="8"/>
            <w:vAlign w:val="center"/>
          </w:tcPr>
          <w:p>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投标总价：</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1.本“开标一览表”用于开标时唱标使用。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2.此表中的各项内容应与投标文件的相应内容一致。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i/>
          <w:color w:val="auto"/>
          <w:sz w:val="24"/>
          <w:highlight w:val="none"/>
          <w:u w:val="single"/>
        </w:rPr>
        <w:t>此表应按投标人须知的要求单独密封和标记，并按目录顺序加入投标文件中，与投标文件同时递交。</w:t>
      </w:r>
    </w:p>
    <w:p>
      <w:pPr>
        <w:spacing w:line="360" w:lineRule="auto"/>
        <w:ind w:firstLine="480" w:firstLineChars="200"/>
        <w:outlineLvl w:val="0"/>
        <w:rPr>
          <w:rFonts w:hint="eastAsia" w:ascii="宋体" w:hAnsi="宋体" w:eastAsia="宋体" w:cs="宋体"/>
          <w:color w:val="auto"/>
          <w:sz w:val="24"/>
          <w:highlight w:val="none"/>
        </w:rPr>
      </w:pPr>
      <w:bookmarkStart w:id="81" w:name="_Toc24519"/>
      <w:r>
        <w:rPr>
          <w:rFonts w:hint="eastAsia" w:ascii="宋体" w:hAnsi="宋体" w:eastAsia="宋体" w:cs="宋体"/>
          <w:color w:val="auto"/>
          <w:sz w:val="24"/>
          <w:highlight w:val="none"/>
        </w:rPr>
        <w:t>4.此表可根据需要自行拉长加宽。（可根据实际情况调整）</w:t>
      </w:r>
      <w:bookmarkEnd w:id="81"/>
    </w:p>
    <w:p>
      <w:pPr>
        <w:spacing w:line="360" w:lineRule="auto"/>
        <w:ind w:firstLine="480" w:firstLineChars="200"/>
        <w:outlineLvl w:val="0"/>
        <w:rPr>
          <w:rFonts w:hint="eastAsia" w:ascii="宋体" w:hAnsi="宋体" w:eastAsia="宋体" w:cs="宋体"/>
          <w:color w:val="auto"/>
          <w:sz w:val="24"/>
          <w:highlight w:val="none"/>
        </w:rPr>
      </w:pPr>
      <w:bookmarkStart w:id="82" w:name="_Toc27349"/>
      <w:r>
        <w:rPr>
          <w:rFonts w:hint="eastAsia" w:ascii="宋体" w:hAnsi="宋体" w:eastAsia="宋体" w:cs="宋体"/>
          <w:color w:val="auto"/>
          <w:sz w:val="24"/>
          <w:highlight w:val="none"/>
        </w:rPr>
        <w:t>5.投标人报价应为优惠条件折算后的最终价格。评标过程中不再接受价优惠条件的价格折算。</w:t>
      </w:r>
      <w:bookmarkEnd w:id="82"/>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格式二：</w:t>
      </w:r>
    </w:p>
    <w:p>
      <w:pPr>
        <w:pStyle w:val="14"/>
        <w:spacing w:line="360" w:lineRule="auto"/>
        <w:jc w:val="center"/>
        <w:outlineLvl w:val="0"/>
        <w:rPr>
          <w:rFonts w:hint="eastAsia" w:ascii="宋体" w:hAnsi="宋体" w:eastAsia="宋体" w:cs="宋体"/>
          <w:b/>
          <w:bCs/>
          <w:color w:val="auto"/>
          <w:szCs w:val="28"/>
          <w:highlight w:val="none"/>
        </w:rPr>
      </w:pPr>
      <w:bookmarkStart w:id="83" w:name="_Toc32569"/>
      <w:r>
        <w:rPr>
          <w:rFonts w:hint="eastAsia" w:ascii="宋体" w:hAnsi="宋体" w:eastAsia="宋体" w:cs="宋体"/>
          <w:b/>
          <w:bCs/>
          <w:color w:val="auto"/>
          <w:szCs w:val="28"/>
          <w:highlight w:val="none"/>
        </w:rPr>
        <w:t>投标函（格式）</w:t>
      </w:r>
      <w:bookmarkEnd w:id="83"/>
    </w:p>
    <w:p>
      <w:pPr>
        <w:pStyle w:val="14"/>
        <w:widowControl/>
        <w:spacing w:line="300" w:lineRule="auto"/>
        <w:outlineLvl w:val="0"/>
        <w:rPr>
          <w:rFonts w:hint="eastAsia" w:ascii="宋体" w:hAnsi="宋体" w:eastAsia="宋体" w:cs="宋体"/>
          <w:color w:val="auto"/>
          <w:kern w:val="0"/>
          <w:szCs w:val="24"/>
          <w:highlight w:val="none"/>
          <w:u w:val="single"/>
          <w:lang w:eastAsia="zh-CN"/>
        </w:rPr>
      </w:pPr>
      <w:bookmarkStart w:id="84" w:name="_Toc20182"/>
      <w:r>
        <w:rPr>
          <w:rFonts w:hint="eastAsia" w:ascii="宋体" w:hAnsi="宋体" w:eastAsia="宋体" w:cs="宋体"/>
          <w:color w:val="auto"/>
          <w:kern w:val="0"/>
          <w:szCs w:val="24"/>
          <w:highlight w:val="none"/>
        </w:rPr>
        <w:t>致：</w:t>
      </w:r>
      <w:r>
        <w:rPr>
          <w:rFonts w:hint="eastAsia" w:ascii="宋体" w:hAnsi="宋体" w:eastAsia="宋体" w:cs="宋体"/>
          <w:color w:val="auto"/>
          <w:kern w:val="0"/>
          <w:szCs w:val="24"/>
          <w:highlight w:val="none"/>
          <w:lang w:eastAsia="zh-CN"/>
        </w:rPr>
        <w:t>中峪国际项目管理有限公司</w:t>
      </w:r>
      <w:bookmarkEnd w:id="84"/>
    </w:p>
    <w:p>
      <w:pPr>
        <w:spacing w:line="300" w:lineRule="auto"/>
        <w:ind w:left="239" w:leftChars="114" w:firstLine="240" w:firstLineChars="100"/>
        <w:outlineLvl w:val="0"/>
        <w:rPr>
          <w:rFonts w:hint="eastAsia" w:ascii="宋体" w:hAnsi="宋体" w:eastAsia="宋体" w:cs="宋体"/>
          <w:color w:val="auto"/>
          <w:sz w:val="24"/>
          <w:highlight w:val="none"/>
        </w:rPr>
      </w:pPr>
      <w:bookmarkStart w:id="85" w:name="_Toc29009"/>
      <w:r>
        <w:rPr>
          <w:rFonts w:hint="eastAsia" w:ascii="宋体" w:hAnsi="宋体" w:eastAsia="宋体" w:cs="宋体"/>
          <w:color w:val="auto"/>
          <w:sz w:val="24"/>
          <w:highlight w:val="none"/>
        </w:rPr>
        <w:t>根据贵方招标采购项目的编号为</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招标文件，本投标人正式授权的下述签字人（姓名和职务）代表投标人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（投标人的名称），提交下述投标文件正本1份，副本</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份,电子版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份。</w:t>
      </w:r>
      <w:bookmarkEnd w:id="85"/>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（1）投标报价一览表；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（2）投标货物及技术规格偏离表、商务条款偏离表；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（3）投标人须知第3条要求的资格证明文件；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（4）售后服务承诺书；</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（5）金额为人民币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元的投标保证金；</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（6）投标人须知第8条要求投标人提交的全部文件；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（7）有关质量保证的各项文件。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据此函，签字人兹宣布同意如下：</w:t>
      </w:r>
    </w:p>
    <w:p>
      <w:pPr>
        <w:tabs>
          <w:tab w:val="left" w:pos="8175"/>
        </w:tabs>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(1)按招标文件规定提供货物及服务的投标总价为（大写）人民币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(2)我们保证根据招标文件规定履行合同责任和义务。</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(3)我们已详细审核了全部招标文件，包括招标文件的修改、补充文件（如果有的话）、参考资料及有关的附件，我们知道必须放弃提出含糊不清或误解的问题的权利。</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(4)我们同意在投标人须知第15.1条规定的开标日期起遵循本投标书，并在投标人须知第11条规定的投标有效期满之前均具有约束力，并有可能中标。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(5)我们如果在规定的投标有效期内撤回投标，则我们的投标保证金可被贵方没收。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(6)我们同意向贵方提供贵方可能要求的与本投标有关的任何证据或资料。</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(7)我们完全理解贵方不一定要接受最低报价的投标或收到的任何投标。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(8)本投标自开标之日起90天内有效。</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与本投标有关的正式通信地址为：</w:t>
      </w:r>
    </w:p>
    <w:p>
      <w:pPr>
        <w:spacing w:line="300" w:lineRule="auto"/>
        <w:ind w:firstLine="570"/>
        <w:rPr>
          <w:rFonts w:hint="eastAsia" w:ascii="宋体" w:hAnsi="宋体" w:eastAsia="宋体" w:cs="宋体"/>
          <w:color w:val="auto"/>
          <w:sz w:val="24"/>
          <w:highlight w:val="none"/>
        </w:rPr>
      </w:pP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电话、传真或电传：</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邮政编码：</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投标人代表姓名：</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公章：</w:t>
      </w:r>
    </w:p>
    <w:p>
      <w:pPr>
        <w:spacing w:line="30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b/>
          <w:color w:val="auto"/>
          <w:sz w:val="24"/>
          <w:szCs w:val="28"/>
          <w:highlight w:val="none"/>
        </w:rPr>
      </w:pPr>
      <w:bookmarkStart w:id="86" w:name="chapter7"/>
      <w:bookmarkEnd w:id="86"/>
      <w:r>
        <w:rPr>
          <w:rFonts w:hint="eastAsia" w:ascii="宋体" w:hAnsi="宋体" w:eastAsia="宋体" w:cs="宋体"/>
          <w:b/>
          <w:color w:val="auto"/>
          <w:sz w:val="24"/>
          <w:szCs w:val="28"/>
          <w:highlight w:val="none"/>
        </w:rPr>
        <w:br w:type="page"/>
      </w:r>
      <w:r>
        <w:rPr>
          <w:rFonts w:hint="eastAsia" w:ascii="宋体" w:hAnsi="宋体" w:eastAsia="宋体" w:cs="宋体"/>
          <w:b/>
          <w:color w:val="auto"/>
          <w:sz w:val="24"/>
          <w:szCs w:val="28"/>
          <w:highlight w:val="none"/>
        </w:rPr>
        <w:t>格式三：</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投标报价一览表（格式）</w:t>
      </w:r>
    </w:p>
    <w:p>
      <w:pPr>
        <w:spacing w:line="360" w:lineRule="auto"/>
        <w:jc w:val="center"/>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项目名称：</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none"/>
        </w:rPr>
        <w:t>元</w:t>
      </w:r>
    </w:p>
    <w:tbl>
      <w:tblPr>
        <w:tblStyle w:val="24"/>
        <w:tblW w:w="95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79"/>
        <w:gridCol w:w="1650"/>
        <w:gridCol w:w="800"/>
        <w:gridCol w:w="1353"/>
        <w:gridCol w:w="1097"/>
        <w:gridCol w:w="1675"/>
        <w:gridCol w:w="963"/>
        <w:gridCol w:w="15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59" w:hRule="atLeast"/>
          <w:jc w:val="center"/>
        </w:trPr>
        <w:tc>
          <w:tcPr>
            <w:tcW w:w="479"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1650" w:type="dxa"/>
            <w:tcBorders>
              <w:top w:val="single" w:color="auto" w:sz="12" w:space="0"/>
              <w:bottom w:val="double" w:color="auto" w:sz="6" w:space="0"/>
              <w:right w:val="single" w:color="auto" w:sz="4"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名称</w:t>
            </w:r>
          </w:p>
        </w:tc>
        <w:tc>
          <w:tcPr>
            <w:tcW w:w="800" w:type="dxa"/>
            <w:tcBorders>
              <w:top w:val="single" w:color="auto" w:sz="12" w:space="0"/>
              <w:left w:val="single" w:color="auto" w:sz="4"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品牌</w:t>
            </w:r>
          </w:p>
        </w:tc>
        <w:tc>
          <w:tcPr>
            <w:tcW w:w="1353"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型号和规格</w:t>
            </w:r>
          </w:p>
        </w:tc>
        <w:tc>
          <w:tcPr>
            <w:tcW w:w="1097"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数量（a）</w:t>
            </w:r>
          </w:p>
        </w:tc>
        <w:tc>
          <w:tcPr>
            <w:tcW w:w="1675" w:type="dxa"/>
            <w:tcBorders>
              <w:top w:val="single" w:color="auto" w:sz="12" w:space="0"/>
              <w:bottom w:val="double" w:color="auto" w:sz="6" w:space="0"/>
            </w:tcBorders>
            <w:vAlign w:val="center"/>
          </w:tcPr>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原产地和</w:t>
            </w:r>
          </w:p>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制造商名称</w:t>
            </w:r>
          </w:p>
        </w:tc>
        <w:tc>
          <w:tcPr>
            <w:tcW w:w="963" w:type="dxa"/>
            <w:tcBorders>
              <w:top w:val="single" w:color="auto" w:sz="12" w:space="0"/>
              <w:bottom w:val="double" w:color="auto" w:sz="6" w:space="0"/>
              <w:right w:val="single" w:color="auto" w:sz="4"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单价（b）</w:t>
            </w:r>
          </w:p>
        </w:tc>
        <w:tc>
          <w:tcPr>
            <w:tcW w:w="1500"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总价（a）*（b）</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80"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left w:val="single" w:color="auto" w:sz="4" w:space="0"/>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0" w:hRule="atLeast"/>
          <w:jc w:val="center"/>
        </w:trPr>
        <w:tc>
          <w:tcPr>
            <w:tcW w:w="2929" w:type="dxa"/>
            <w:gridSpan w:val="3"/>
            <w:tcBorders>
              <w:right w:val="single" w:color="auto" w:sz="4" w:space="0"/>
            </w:tcBorders>
            <w:vAlign w:val="center"/>
          </w:tcPr>
          <w:p>
            <w:pPr>
              <w:spacing w:line="360" w:lineRule="auto"/>
              <w:ind w:firstLine="480" w:firstLineChars="20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总计（投标总价）：</w:t>
            </w:r>
          </w:p>
        </w:tc>
        <w:tc>
          <w:tcPr>
            <w:tcW w:w="6588" w:type="dxa"/>
            <w:gridSpan w:val="5"/>
            <w:tcBorders>
              <w:left w:val="single" w:color="auto" w:sz="4" w:space="0"/>
            </w:tcBorders>
            <w:vAlign w:val="center"/>
          </w:tcPr>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人民币大写：                      小写：</w:t>
            </w:r>
          </w:p>
        </w:tc>
      </w:tr>
    </w:tbl>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1.与本项目有关的各种费用均应包含在总报价中。</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2.如果投标人提供价格折扣优惠，应在表中明确填列。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3.如果与货物需求和技术规格、商务条款的要求有偏差，应填写“投标货物及技术规格偏离表、商务条款偏离表”（见格式四）。</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4.要说明的问题可另附页说明并签字和加盖公章。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87" w:name="_Toc28379"/>
      <w:r>
        <w:rPr>
          <w:rFonts w:hint="eastAsia" w:ascii="宋体" w:hAnsi="宋体" w:eastAsia="宋体" w:cs="宋体"/>
          <w:color w:val="auto"/>
          <w:sz w:val="24"/>
          <w:highlight w:val="none"/>
        </w:rPr>
        <w:t>5.此表可根据需要自行拉长加宽。</w:t>
      </w:r>
      <w:bookmarkEnd w:id="87"/>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格式四：</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投标货物及技术规格偏离表（格式）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88" w:name="_Toc15482"/>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bookmarkEnd w:id="88"/>
      <w:r>
        <w:rPr>
          <w:rFonts w:hint="eastAsia" w:ascii="宋体" w:hAnsi="宋体" w:eastAsia="宋体" w:cs="宋体"/>
          <w:color w:val="auto"/>
          <w:szCs w:val="24"/>
          <w:highlight w:val="none"/>
        </w:rPr>
        <w:t>项目编号：</w:t>
      </w:r>
    </w:p>
    <w:tbl>
      <w:tblPr>
        <w:tblStyle w:val="24"/>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043"/>
        <w:gridCol w:w="2451"/>
        <w:gridCol w:w="3052"/>
        <w:gridCol w:w="80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646" w:type="dxa"/>
            <w:vAlign w:val="center"/>
          </w:tcPr>
          <w:p>
            <w:pPr>
              <w:spacing w:line="360" w:lineRule="auto"/>
              <w:jc w:val="center"/>
              <w:outlineLvl w:val="0"/>
              <w:rPr>
                <w:rFonts w:hint="eastAsia" w:ascii="宋体" w:hAnsi="宋体" w:eastAsia="宋体" w:cs="宋体"/>
                <w:color w:val="auto"/>
                <w:sz w:val="24"/>
                <w:highlight w:val="none"/>
              </w:rPr>
            </w:pPr>
            <w:bookmarkStart w:id="89" w:name="_Toc24919"/>
            <w:r>
              <w:rPr>
                <w:rFonts w:hint="eastAsia" w:ascii="宋体" w:hAnsi="宋体" w:eastAsia="宋体" w:cs="宋体"/>
                <w:color w:val="auto"/>
                <w:sz w:val="24"/>
                <w:highlight w:val="none"/>
              </w:rPr>
              <w:t>序号</w:t>
            </w:r>
            <w:bookmarkEnd w:id="89"/>
          </w:p>
        </w:tc>
        <w:tc>
          <w:tcPr>
            <w:tcW w:w="1043" w:type="dxa"/>
            <w:vAlign w:val="center"/>
          </w:tcPr>
          <w:p>
            <w:pPr>
              <w:spacing w:line="360" w:lineRule="auto"/>
              <w:jc w:val="center"/>
              <w:outlineLvl w:val="0"/>
              <w:rPr>
                <w:rFonts w:hint="eastAsia" w:ascii="宋体" w:hAnsi="宋体" w:eastAsia="宋体" w:cs="宋体"/>
                <w:color w:val="auto"/>
                <w:sz w:val="24"/>
                <w:highlight w:val="none"/>
              </w:rPr>
            </w:pPr>
            <w:bookmarkStart w:id="90" w:name="_Toc26696"/>
            <w:r>
              <w:rPr>
                <w:rFonts w:hint="eastAsia" w:ascii="宋体" w:hAnsi="宋体" w:eastAsia="宋体" w:cs="宋体"/>
                <w:color w:val="auto"/>
                <w:sz w:val="24"/>
                <w:highlight w:val="none"/>
              </w:rPr>
              <w:t>货物名称</w:t>
            </w:r>
            <w:bookmarkEnd w:id="90"/>
          </w:p>
        </w:tc>
        <w:tc>
          <w:tcPr>
            <w:tcW w:w="2451" w:type="dxa"/>
            <w:vAlign w:val="center"/>
          </w:tcPr>
          <w:p>
            <w:pPr>
              <w:spacing w:line="360" w:lineRule="auto"/>
              <w:jc w:val="center"/>
              <w:outlineLvl w:val="0"/>
              <w:rPr>
                <w:rFonts w:hint="eastAsia" w:ascii="宋体" w:hAnsi="宋体" w:eastAsia="宋体" w:cs="宋体"/>
                <w:color w:val="auto"/>
                <w:sz w:val="24"/>
                <w:highlight w:val="none"/>
              </w:rPr>
            </w:pPr>
            <w:bookmarkStart w:id="91" w:name="_Toc22219"/>
            <w:r>
              <w:rPr>
                <w:rFonts w:hint="eastAsia" w:ascii="宋体" w:hAnsi="宋体" w:eastAsia="宋体" w:cs="宋体"/>
                <w:color w:val="auto"/>
                <w:sz w:val="24"/>
                <w:highlight w:val="none"/>
              </w:rPr>
              <w:t>招标文件规定的货物需求、技术规格</w:t>
            </w:r>
            <w:bookmarkEnd w:id="91"/>
          </w:p>
        </w:tc>
        <w:tc>
          <w:tcPr>
            <w:tcW w:w="3052" w:type="dxa"/>
            <w:vAlign w:val="center"/>
          </w:tcPr>
          <w:p>
            <w:pPr>
              <w:spacing w:line="360" w:lineRule="auto"/>
              <w:jc w:val="center"/>
              <w:outlineLvl w:val="0"/>
              <w:rPr>
                <w:rFonts w:hint="eastAsia" w:ascii="宋体" w:hAnsi="宋体" w:eastAsia="宋体" w:cs="宋体"/>
                <w:color w:val="auto"/>
                <w:sz w:val="24"/>
                <w:highlight w:val="none"/>
              </w:rPr>
            </w:pPr>
            <w:bookmarkStart w:id="92" w:name="_Toc5484"/>
            <w:r>
              <w:rPr>
                <w:rFonts w:hint="eastAsia" w:ascii="宋体" w:hAnsi="宋体" w:eastAsia="宋体" w:cs="宋体"/>
                <w:color w:val="auto"/>
                <w:sz w:val="24"/>
                <w:highlight w:val="none"/>
              </w:rPr>
              <w:t>投标文件对应的货物情况、技术规格</w:t>
            </w:r>
            <w:bookmarkEnd w:id="92"/>
          </w:p>
        </w:tc>
        <w:tc>
          <w:tcPr>
            <w:tcW w:w="802" w:type="dxa"/>
            <w:vAlign w:val="center"/>
          </w:tcPr>
          <w:p>
            <w:pPr>
              <w:spacing w:line="360" w:lineRule="auto"/>
              <w:jc w:val="center"/>
              <w:outlineLvl w:val="0"/>
              <w:rPr>
                <w:rFonts w:hint="eastAsia" w:ascii="宋体" w:hAnsi="宋体" w:eastAsia="宋体" w:cs="宋体"/>
                <w:color w:val="auto"/>
                <w:sz w:val="24"/>
                <w:highlight w:val="none"/>
              </w:rPr>
            </w:pPr>
            <w:bookmarkStart w:id="93" w:name="_Toc15994"/>
            <w:r>
              <w:rPr>
                <w:rFonts w:hint="eastAsia" w:ascii="宋体" w:hAnsi="宋体" w:eastAsia="宋体" w:cs="宋体"/>
                <w:color w:val="auto"/>
                <w:sz w:val="24"/>
                <w:highlight w:val="none"/>
              </w:rPr>
              <w:t>是否偏离</w:t>
            </w:r>
            <w:bookmarkEnd w:id="93"/>
          </w:p>
        </w:tc>
        <w:tc>
          <w:tcPr>
            <w:tcW w:w="962" w:type="dxa"/>
            <w:vAlign w:val="center"/>
          </w:tcPr>
          <w:p>
            <w:pPr>
              <w:spacing w:line="360" w:lineRule="auto"/>
              <w:jc w:val="center"/>
              <w:outlineLvl w:val="0"/>
              <w:rPr>
                <w:rFonts w:hint="eastAsia" w:ascii="宋体" w:hAnsi="宋体" w:eastAsia="宋体" w:cs="宋体"/>
                <w:color w:val="auto"/>
                <w:sz w:val="24"/>
                <w:highlight w:val="none"/>
              </w:rPr>
            </w:pPr>
            <w:bookmarkStart w:id="94" w:name="_Toc18988"/>
            <w:r>
              <w:rPr>
                <w:rFonts w:hint="eastAsia" w:ascii="宋体" w:hAnsi="宋体" w:eastAsia="宋体" w:cs="宋体"/>
                <w:color w:val="auto"/>
                <w:sz w:val="24"/>
                <w:highlight w:val="none"/>
              </w:rPr>
              <w:t>备注</w:t>
            </w:r>
            <w:bookmarkEnd w:id="9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1.技术条款均应根据投标文件对招标文件的偏离情况相对应地填列。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2.表内如果填列不全，可另外附页说明并按规定签字和加盖公章。</w:t>
      </w:r>
    </w:p>
    <w:p>
      <w:pPr>
        <w:spacing w:line="360" w:lineRule="auto"/>
        <w:ind w:firstLine="480" w:firstLineChars="200"/>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3.采购人要求投标人认真填写本表。</w:t>
      </w:r>
    </w:p>
    <w:p>
      <w:pPr>
        <w:spacing w:line="360" w:lineRule="auto"/>
        <w:ind w:firstLine="480" w:firstLineChars="200"/>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4.此表可根据需要自行拉长加宽。</w:t>
      </w:r>
    </w:p>
    <w:p>
      <w:pPr>
        <w:spacing w:line="360" w:lineRule="auto"/>
        <w:ind w:firstLine="480" w:firstLineChars="200"/>
        <w:outlineLvl w:val="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5.</w:t>
      </w:r>
      <w:r>
        <w:rPr>
          <w:rFonts w:hint="eastAsia" w:ascii="宋体" w:hAnsi="宋体" w:eastAsia="宋体" w:cs="宋体"/>
          <w:b/>
          <w:bCs/>
          <w:color w:val="auto"/>
          <w:sz w:val="24"/>
          <w:highlight w:val="none"/>
        </w:rPr>
        <w:t>技术偏离表中“是否偏离”栏目，投标人据实选择填写完全响应/正偏离/负偏离；并在“备注”栏目填写证明偏离情况的技术证明资料中该项技术指标的明确位置（例如：见投标文件第几页第几段/第几行，此项技术指标应明显标注）</w:t>
      </w:r>
      <w:r>
        <w:rPr>
          <w:rFonts w:hint="eastAsia" w:ascii="宋体" w:hAnsi="宋体" w:eastAsia="宋体" w:cs="宋体"/>
          <w:b/>
          <w:bCs/>
          <w:color w:val="auto"/>
          <w:sz w:val="24"/>
          <w:highlight w:val="none"/>
          <w:lang w:eastAsia="zh-CN"/>
        </w:rPr>
        <w:t>。</w:t>
      </w:r>
    </w:p>
    <w:p>
      <w:pPr>
        <w:pStyle w:val="10"/>
        <w:rPr>
          <w:rFonts w:hint="eastAsia" w:ascii="宋体" w:hAnsi="宋体" w:eastAsia="宋体" w:cs="宋体"/>
          <w:color w:val="auto"/>
          <w:highlight w:val="none"/>
          <w:lang w:val="en-US" w:eastAsia="zh-CN"/>
        </w:rPr>
      </w:pPr>
      <w:r>
        <w:rPr>
          <w:rFonts w:hint="eastAsia" w:ascii="宋体" w:hAnsi="宋体" w:eastAsia="宋体" w:cs="宋体"/>
          <w:b/>
          <w:bCs/>
          <w:color w:val="auto"/>
          <w:sz w:val="24"/>
          <w:highlight w:val="none"/>
          <w:lang w:val="en-US" w:eastAsia="zh-CN"/>
        </w:rPr>
        <w:t xml:space="preserve">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jc w:val="center"/>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商务条款偏离表（格式）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95" w:name="_Toc20559"/>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项目编号：</w:t>
      </w:r>
      <w:bookmarkEnd w:id="95"/>
    </w:p>
    <w:tbl>
      <w:tblPr>
        <w:tblStyle w:val="24"/>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00"/>
        <w:gridCol w:w="2941"/>
        <w:gridCol w:w="3090"/>
        <w:gridCol w:w="888"/>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vAlign w:val="center"/>
          </w:tcPr>
          <w:p>
            <w:pPr>
              <w:spacing w:line="360" w:lineRule="auto"/>
              <w:jc w:val="center"/>
              <w:outlineLvl w:val="0"/>
              <w:rPr>
                <w:rFonts w:hint="eastAsia" w:ascii="宋体" w:hAnsi="宋体" w:eastAsia="宋体" w:cs="宋体"/>
                <w:color w:val="auto"/>
                <w:sz w:val="24"/>
                <w:highlight w:val="none"/>
              </w:rPr>
            </w:pPr>
            <w:bookmarkStart w:id="96" w:name="_Toc19945"/>
            <w:r>
              <w:rPr>
                <w:rFonts w:hint="eastAsia" w:ascii="宋体" w:hAnsi="宋体" w:eastAsia="宋体" w:cs="宋体"/>
                <w:color w:val="auto"/>
                <w:sz w:val="24"/>
                <w:highlight w:val="none"/>
              </w:rPr>
              <w:t>序号</w:t>
            </w:r>
            <w:bookmarkEnd w:id="96"/>
          </w:p>
        </w:tc>
        <w:tc>
          <w:tcPr>
            <w:tcW w:w="1200" w:type="dxa"/>
            <w:vAlign w:val="center"/>
          </w:tcPr>
          <w:p>
            <w:pPr>
              <w:spacing w:line="360" w:lineRule="auto"/>
              <w:jc w:val="center"/>
              <w:outlineLvl w:val="0"/>
              <w:rPr>
                <w:rFonts w:hint="eastAsia" w:ascii="宋体" w:hAnsi="宋体" w:eastAsia="宋体" w:cs="宋体"/>
                <w:color w:val="auto"/>
                <w:sz w:val="24"/>
                <w:highlight w:val="none"/>
              </w:rPr>
            </w:pPr>
            <w:bookmarkStart w:id="97" w:name="_Toc13926"/>
            <w:r>
              <w:rPr>
                <w:rFonts w:hint="eastAsia" w:ascii="宋体" w:hAnsi="宋体" w:eastAsia="宋体" w:cs="宋体"/>
                <w:color w:val="auto"/>
                <w:sz w:val="24"/>
                <w:highlight w:val="none"/>
              </w:rPr>
              <w:t>货物名称</w:t>
            </w:r>
            <w:bookmarkEnd w:id="97"/>
          </w:p>
        </w:tc>
        <w:tc>
          <w:tcPr>
            <w:tcW w:w="2941" w:type="dxa"/>
            <w:vAlign w:val="center"/>
          </w:tcPr>
          <w:p>
            <w:pPr>
              <w:spacing w:line="360" w:lineRule="auto"/>
              <w:jc w:val="center"/>
              <w:outlineLvl w:val="0"/>
              <w:rPr>
                <w:rFonts w:hint="eastAsia" w:ascii="宋体" w:hAnsi="宋体" w:eastAsia="宋体" w:cs="宋体"/>
                <w:color w:val="auto"/>
                <w:sz w:val="24"/>
                <w:highlight w:val="none"/>
              </w:rPr>
            </w:pPr>
            <w:bookmarkStart w:id="98" w:name="_Toc19652"/>
            <w:r>
              <w:rPr>
                <w:rFonts w:hint="eastAsia" w:ascii="宋体" w:hAnsi="宋体" w:eastAsia="宋体" w:cs="宋体"/>
                <w:color w:val="auto"/>
                <w:sz w:val="24"/>
                <w:highlight w:val="none"/>
              </w:rPr>
              <w:t>招标文件规定的商务条款</w:t>
            </w:r>
            <w:bookmarkEnd w:id="98"/>
          </w:p>
        </w:tc>
        <w:tc>
          <w:tcPr>
            <w:tcW w:w="3090" w:type="dxa"/>
            <w:vAlign w:val="center"/>
          </w:tcPr>
          <w:p>
            <w:pPr>
              <w:spacing w:line="360" w:lineRule="auto"/>
              <w:jc w:val="center"/>
              <w:outlineLvl w:val="0"/>
              <w:rPr>
                <w:rFonts w:hint="eastAsia" w:ascii="宋体" w:hAnsi="宋体" w:eastAsia="宋体" w:cs="宋体"/>
                <w:color w:val="auto"/>
                <w:sz w:val="24"/>
                <w:highlight w:val="none"/>
              </w:rPr>
            </w:pPr>
            <w:bookmarkStart w:id="99" w:name="_Toc6384"/>
            <w:r>
              <w:rPr>
                <w:rFonts w:hint="eastAsia" w:ascii="宋体" w:hAnsi="宋体" w:eastAsia="宋体" w:cs="宋体"/>
                <w:color w:val="auto"/>
                <w:sz w:val="24"/>
                <w:highlight w:val="none"/>
              </w:rPr>
              <w:t>投标文件对应的商务条款</w:t>
            </w:r>
            <w:bookmarkEnd w:id="99"/>
          </w:p>
        </w:tc>
        <w:tc>
          <w:tcPr>
            <w:tcW w:w="888" w:type="dxa"/>
            <w:vAlign w:val="center"/>
          </w:tcPr>
          <w:p>
            <w:pPr>
              <w:spacing w:line="360" w:lineRule="auto"/>
              <w:jc w:val="center"/>
              <w:outlineLvl w:val="0"/>
              <w:rPr>
                <w:rFonts w:hint="eastAsia" w:ascii="宋体" w:hAnsi="宋体" w:eastAsia="宋体" w:cs="宋体"/>
                <w:color w:val="auto"/>
                <w:sz w:val="24"/>
                <w:highlight w:val="none"/>
              </w:rPr>
            </w:pPr>
            <w:bookmarkStart w:id="100" w:name="_Toc17750"/>
            <w:r>
              <w:rPr>
                <w:rFonts w:hint="eastAsia" w:ascii="宋体" w:hAnsi="宋体" w:eastAsia="宋体" w:cs="宋体"/>
                <w:color w:val="auto"/>
                <w:sz w:val="24"/>
                <w:highlight w:val="none"/>
              </w:rPr>
              <w:t>是否偏离</w:t>
            </w:r>
            <w:bookmarkEnd w:id="100"/>
          </w:p>
        </w:tc>
        <w:tc>
          <w:tcPr>
            <w:tcW w:w="748" w:type="dxa"/>
            <w:vAlign w:val="center"/>
          </w:tcPr>
          <w:p>
            <w:pPr>
              <w:spacing w:line="360" w:lineRule="auto"/>
              <w:jc w:val="center"/>
              <w:outlineLvl w:val="0"/>
              <w:rPr>
                <w:rFonts w:hint="eastAsia" w:ascii="宋体" w:hAnsi="宋体" w:eastAsia="宋体" w:cs="宋体"/>
                <w:color w:val="auto"/>
                <w:sz w:val="24"/>
                <w:highlight w:val="none"/>
              </w:rPr>
            </w:pPr>
            <w:bookmarkStart w:id="101" w:name="_Toc27935"/>
            <w:r>
              <w:rPr>
                <w:rFonts w:hint="eastAsia" w:ascii="宋体" w:hAnsi="宋体" w:eastAsia="宋体" w:cs="宋体"/>
                <w:color w:val="auto"/>
                <w:sz w:val="24"/>
                <w:highlight w:val="none"/>
              </w:rPr>
              <w:t>备注</w:t>
            </w:r>
            <w:bookmarkEnd w:id="10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1.商务条款均应根据投标文件对招标文件的偏离情况相对应地填列。</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2.商务条款可填写</w:t>
      </w:r>
      <w:r>
        <w:rPr>
          <w:rFonts w:hint="eastAsia" w:ascii="宋体" w:hAnsi="宋体" w:eastAsia="宋体" w:cs="宋体"/>
          <w:b/>
          <w:bCs/>
          <w:color w:val="auto"/>
          <w:sz w:val="24"/>
          <w:highlight w:val="none"/>
        </w:rPr>
        <w:t>付款条件、合同履行期限</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交货</w:t>
      </w:r>
      <w:r>
        <w:rPr>
          <w:rFonts w:hint="eastAsia" w:ascii="宋体" w:hAnsi="宋体" w:eastAsia="宋体" w:cs="宋体"/>
          <w:b/>
          <w:bCs/>
          <w:color w:val="auto"/>
          <w:sz w:val="24"/>
          <w:highlight w:val="none"/>
          <w:lang w:val="en-US" w:eastAsia="zh-CN"/>
        </w:rPr>
        <w:t>地点</w:t>
      </w:r>
      <w:r>
        <w:rPr>
          <w:rFonts w:hint="eastAsia" w:ascii="宋体" w:hAnsi="宋体" w:eastAsia="宋体" w:cs="宋体"/>
          <w:b/>
          <w:bCs/>
          <w:color w:val="auto"/>
          <w:sz w:val="24"/>
          <w:highlight w:val="none"/>
        </w:rPr>
        <w:t>、交货方式、售后服务</w:t>
      </w:r>
      <w:r>
        <w:rPr>
          <w:rFonts w:hint="eastAsia" w:ascii="宋体" w:hAnsi="宋体" w:eastAsia="宋体" w:cs="宋体"/>
          <w:color w:val="auto"/>
          <w:sz w:val="24"/>
          <w:highlight w:val="none"/>
        </w:rPr>
        <w:t>等重要条款方面的偏离情况，但不限于以上条款。</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3.表内如果填列不全，可另外附页说明并按规定签字和加盖公章。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02" w:name="_Toc24259"/>
      <w:r>
        <w:rPr>
          <w:rFonts w:hint="eastAsia" w:ascii="宋体" w:hAnsi="宋体" w:eastAsia="宋体" w:cs="宋体"/>
          <w:color w:val="auto"/>
          <w:sz w:val="24"/>
          <w:highlight w:val="none"/>
        </w:rPr>
        <w:t>4.采购人要求投标人认真填写本表。</w:t>
      </w:r>
      <w:bookmarkEnd w:id="102"/>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03" w:name="_Toc16140"/>
      <w:r>
        <w:rPr>
          <w:rFonts w:hint="eastAsia" w:ascii="宋体" w:hAnsi="宋体" w:eastAsia="宋体" w:cs="宋体"/>
          <w:color w:val="auto"/>
          <w:sz w:val="24"/>
          <w:highlight w:val="none"/>
        </w:rPr>
        <w:t>5.此表可根据需要自行拉长加宽。</w:t>
      </w:r>
      <w:bookmarkEnd w:id="103"/>
    </w:p>
    <w:p>
      <w:pPr>
        <w:spacing w:line="360" w:lineRule="auto"/>
        <w:ind w:firstLine="480" w:firstLineChars="200"/>
        <w:rPr>
          <w:rFonts w:hint="eastAsia" w:ascii="宋体" w:hAnsi="宋体" w:eastAsia="宋体" w:cs="宋体"/>
          <w:color w:val="auto"/>
          <w:sz w:val="24"/>
          <w:highlight w:val="none"/>
        </w:rPr>
      </w:pPr>
      <w:bookmarkStart w:id="104" w:name="_Toc28163"/>
      <w:r>
        <w:rPr>
          <w:rFonts w:hint="eastAsia" w:ascii="宋体" w:hAnsi="宋体" w:eastAsia="宋体" w:cs="宋体"/>
          <w:color w:val="auto"/>
          <w:sz w:val="24"/>
          <w:highlight w:val="none"/>
        </w:rPr>
        <w:t>6.如有正偏离的商务条款，须在商务条款偏离表中体现，如未在商务条款偏离表中填写，视为其商务条款全部满足。</w:t>
      </w:r>
      <w:bookmarkEnd w:id="104"/>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pStyle w:val="14"/>
        <w:spacing w:line="360" w:lineRule="auto"/>
        <w:outlineLvl w:val="9"/>
        <w:rPr>
          <w:rFonts w:hint="eastAsia" w:ascii="宋体" w:hAnsi="宋体" w:eastAsia="宋体" w:cs="宋体"/>
          <w:color w:val="auto"/>
          <w:szCs w:val="24"/>
          <w:highlight w:val="none"/>
        </w:rPr>
        <w:sectPr>
          <w:pgSz w:w="11906" w:h="16838"/>
          <w:pgMar w:top="1361" w:right="1304" w:bottom="1247" w:left="1304" w:header="680" w:footer="680" w:gutter="0"/>
          <w:cols w:space="720" w:num="1"/>
          <w:docGrid w:linePitch="312" w:charSpace="0"/>
        </w:sectPr>
      </w:pPr>
    </w:p>
    <w:p>
      <w:pPr>
        <w:pStyle w:val="14"/>
        <w:spacing w:line="360" w:lineRule="auto"/>
        <w:jc w:val="center"/>
        <w:outlineLvl w:val="0"/>
        <w:rPr>
          <w:rFonts w:hint="eastAsia" w:ascii="宋体" w:hAnsi="宋体" w:cs="宋体"/>
          <w:b/>
          <w:color w:val="auto"/>
          <w:szCs w:val="28"/>
          <w:highlight w:val="none"/>
          <w:lang w:val="en-US" w:eastAsia="zh-CN"/>
        </w:rPr>
      </w:pPr>
      <w:bookmarkStart w:id="105" w:name="_Toc25436"/>
      <w:r>
        <w:rPr>
          <w:rFonts w:hint="eastAsia" w:ascii="宋体" w:hAnsi="宋体" w:cs="宋体"/>
          <w:b/>
          <w:color w:val="auto"/>
          <w:szCs w:val="28"/>
          <w:highlight w:val="none"/>
          <w:lang w:val="en-US" w:eastAsia="zh-CN"/>
        </w:rPr>
        <w:t>投标产品实物三视图</w:t>
      </w:r>
    </w:p>
    <w:p>
      <w:pPr>
        <w:rPr>
          <w:rFonts w:hint="eastAsia" w:ascii="宋体" w:hAnsi="宋体" w:cs="宋体"/>
          <w:b/>
          <w:bCs/>
          <w:color w:val="auto"/>
          <w:sz w:val="24"/>
          <w:highlight w:val="none"/>
          <w:lang w:val="en-US" w:eastAsia="zh-CN"/>
        </w:rPr>
      </w:pPr>
    </w:p>
    <w:p>
      <w:pPr>
        <w:spacing w:line="360" w:lineRule="auto"/>
        <w:rPr>
          <w:rFonts w:hint="default"/>
          <w:color w:val="auto"/>
          <w:lang w:val="en-US" w:eastAsia="zh-CN"/>
        </w:rPr>
        <w:sectPr>
          <w:pgSz w:w="11906" w:h="16838"/>
          <w:pgMar w:top="1361" w:right="1304" w:bottom="1247" w:left="1304" w:header="680" w:footer="680" w:gutter="0"/>
          <w:cols w:space="720" w:num="1"/>
          <w:docGrid w:linePitch="312" w:charSpace="0"/>
        </w:sectPr>
      </w:pPr>
      <w:r>
        <w:rPr>
          <w:rFonts w:hint="eastAsia" w:ascii="宋体" w:hAnsi="宋体" w:cs="宋体"/>
          <w:b/>
          <w:bCs/>
          <w:color w:val="auto"/>
          <w:sz w:val="24"/>
          <w:highlight w:val="none"/>
          <w:lang w:val="en-US" w:eastAsia="zh-CN"/>
        </w:rPr>
        <w:t>注：</w:t>
      </w:r>
      <w:r>
        <w:rPr>
          <w:rFonts w:hint="eastAsia" w:ascii="宋体" w:hAnsi="宋体" w:cs="宋体"/>
          <w:b/>
          <w:bCs/>
          <w:color w:val="auto"/>
          <w:sz w:val="24"/>
          <w:highlight w:val="none"/>
        </w:rPr>
        <w:t>投标人须提供全部产品的</w:t>
      </w:r>
      <w:r>
        <w:rPr>
          <w:rFonts w:hint="eastAsia" w:ascii="宋体" w:hAnsi="宋体" w:cs="宋体"/>
          <w:b/>
          <w:bCs/>
          <w:color w:val="auto"/>
          <w:sz w:val="24"/>
          <w:highlight w:val="none"/>
          <w:lang w:val="en-US" w:eastAsia="zh-CN"/>
        </w:rPr>
        <w:t>外观</w:t>
      </w:r>
      <w:r>
        <w:rPr>
          <w:rFonts w:hint="eastAsia" w:ascii="宋体" w:hAnsi="宋体" w:cs="宋体"/>
          <w:b/>
          <w:bCs/>
          <w:color w:val="auto"/>
          <w:sz w:val="24"/>
          <w:highlight w:val="none"/>
        </w:rPr>
        <w:t>三视图</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lang w:val="en-US" w:eastAsia="zh-CN"/>
        </w:rPr>
        <w:t>三视图须为产品实物拍摄的彩色图片，不得使用设计图或效果图</w:t>
      </w:r>
      <w:r>
        <w:rPr>
          <w:rFonts w:hint="eastAsia" w:ascii="宋体" w:hAnsi="宋体" w:cs="宋体"/>
          <w:b/>
          <w:bCs/>
          <w:color w:val="auto"/>
          <w:sz w:val="24"/>
          <w:highlight w:val="none"/>
        </w:rPr>
        <w:t>。</w:t>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格式五：</w:t>
      </w:r>
      <w:bookmarkEnd w:id="105"/>
    </w:p>
    <w:p>
      <w:pPr>
        <w:spacing w:line="360" w:lineRule="auto"/>
        <w:jc w:val="center"/>
        <w:outlineLvl w:val="0"/>
        <w:rPr>
          <w:rFonts w:hint="eastAsia" w:ascii="宋体" w:hAnsi="宋体" w:eastAsia="宋体" w:cs="宋体"/>
          <w:b/>
          <w:color w:val="auto"/>
          <w:sz w:val="24"/>
          <w:szCs w:val="28"/>
          <w:highlight w:val="none"/>
        </w:rPr>
      </w:pPr>
      <w:bookmarkStart w:id="106" w:name="_Toc26504"/>
      <w:r>
        <w:rPr>
          <w:rFonts w:hint="eastAsia" w:ascii="宋体" w:hAnsi="宋体" w:eastAsia="宋体" w:cs="宋体"/>
          <w:b/>
          <w:color w:val="auto"/>
          <w:sz w:val="24"/>
          <w:szCs w:val="28"/>
          <w:highlight w:val="none"/>
        </w:rPr>
        <w:t>售后服务承诺书（格式）</w:t>
      </w:r>
      <w:bookmarkEnd w:id="106"/>
    </w:p>
    <w:p>
      <w:pPr>
        <w:spacing w:line="360" w:lineRule="auto"/>
        <w:jc w:val="center"/>
        <w:outlineLvl w:val="9"/>
        <w:rPr>
          <w:rFonts w:hint="eastAsia" w:ascii="宋体" w:hAnsi="宋体" w:eastAsia="宋体" w:cs="宋体"/>
          <w:b/>
          <w:bCs/>
          <w:color w:val="auto"/>
          <w:sz w:val="24"/>
          <w:szCs w:val="28"/>
          <w:highlight w:val="none"/>
        </w:rPr>
      </w:pPr>
    </w:p>
    <w:p>
      <w:pPr>
        <w:spacing w:line="360" w:lineRule="auto"/>
        <w:jc w:val="center"/>
        <w:outlineLvl w:val="9"/>
        <w:rPr>
          <w:rFonts w:hint="eastAsia" w:ascii="宋体" w:hAnsi="宋体" w:eastAsia="宋体" w:cs="宋体"/>
          <w:b/>
          <w:bCs/>
          <w:color w:val="auto"/>
          <w:sz w:val="24"/>
          <w:szCs w:val="28"/>
          <w:highlight w:val="none"/>
        </w:rPr>
      </w:pPr>
    </w:p>
    <w:p>
      <w:pPr>
        <w:spacing w:line="360" w:lineRule="auto"/>
        <w:outlineLvl w:val="0"/>
        <w:rPr>
          <w:rFonts w:hint="eastAsia" w:ascii="宋体" w:hAnsi="宋体" w:eastAsia="宋体" w:cs="宋体"/>
          <w:bCs/>
          <w:color w:val="auto"/>
          <w:sz w:val="24"/>
          <w:highlight w:val="none"/>
        </w:rPr>
      </w:pPr>
      <w:bookmarkStart w:id="107" w:name="_Toc11665"/>
      <w:r>
        <w:rPr>
          <w:rFonts w:hint="eastAsia" w:ascii="宋体" w:hAnsi="宋体" w:eastAsia="宋体" w:cs="宋体"/>
          <w:color w:val="auto"/>
          <w:kern w:val="0"/>
          <w:sz w:val="24"/>
          <w:highlight w:val="none"/>
          <w:lang w:eastAsia="zh-CN"/>
        </w:rPr>
        <w:t>中峪国际项目管理有限公司</w:t>
      </w:r>
      <w:r>
        <w:rPr>
          <w:rFonts w:hint="eastAsia" w:ascii="宋体" w:hAnsi="宋体" w:eastAsia="宋体" w:cs="宋体"/>
          <w:bCs/>
          <w:color w:val="auto"/>
          <w:sz w:val="24"/>
          <w:highlight w:val="none"/>
        </w:rPr>
        <w:t>：</w:t>
      </w:r>
      <w:bookmarkEnd w:id="10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bCs/>
          <w:color w:val="auto"/>
          <w:sz w:val="24"/>
          <w:highlight w:val="none"/>
        </w:rPr>
        <w:t>我公司自愿参加</w:t>
      </w:r>
      <w:r>
        <w:rPr>
          <w:rFonts w:hint="eastAsia" w:ascii="宋体" w:hAnsi="宋体" w:eastAsia="宋体" w:cs="宋体"/>
          <w:bCs/>
          <w:color w:val="auto"/>
          <w:sz w:val="24"/>
          <w:highlight w:val="none"/>
          <w:u w:val="single"/>
        </w:rPr>
        <w:t>　　　　</w:t>
      </w:r>
      <w:r>
        <w:rPr>
          <w:rFonts w:hint="eastAsia" w:ascii="宋体" w:hAnsi="宋体" w:eastAsia="宋体" w:cs="宋体"/>
          <w:bCs/>
          <w:color w:val="auto"/>
          <w:sz w:val="24"/>
          <w:highlight w:val="none"/>
        </w:rPr>
        <w:t>项目（项目编号</w:t>
      </w:r>
      <w:r>
        <w:rPr>
          <w:rFonts w:hint="eastAsia" w:ascii="宋体" w:hAnsi="宋体" w:eastAsia="宋体" w:cs="宋体"/>
          <w:color w:val="auto"/>
          <w:sz w:val="24"/>
          <w:highlight w:val="none"/>
        </w:rPr>
        <w:t>）的投标。我公司郑重承诺，如果我公司的投标被评定为中标，我公司对于中标货物，除完全响应招标文件合同条款对伴随服务和售后服务的所有要求外，还将按照以下条款提供优质和完善的售后服务：</w:t>
      </w:r>
    </w:p>
    <w:p>
      <w:pPr>
        <w:numPr>
          <w:ilvl w:val="0"/>
          <w:numId w:val="0"/>
        </w:numPr>
        <w:spacing w:line="360" w:lineRule="auto"/>
        <w:ind w:firstLine="480" w:firstLineChars="200"/>
        <w:rPr>
          <w:rFonts w:hint="eastAsia" w:ascii="宋体" w:hAnsi="宋体" w:cs="宋体"/>
          <w:b/>
          <w:bCs/>
          <w:color w:val="auto"/>
          <w:sz w:val="24"/>
          <w:highlight w:val="none"/>
          <w:lang w:val="en-US" w:eastAsia="zh-CN"/>
        </w:rPr>
      </w:pPr>
      <w:r>
        <w:rPr>
          <w:rFonts w:hint="eastAsia" w:ascii="宋体" w:hAnsi="宋体" w:eastAsia="宋体" w:cs="宋体"/>
          <w:b w:val="0"/>
          <w:bCs w:val="0"/>
          <w:color w:val="auto"/>
          <w:kern w:val="2"/>
          <w:sz w:val="24"/>
          <w:szCs w:val="24"/>
          <w:lang w:val="en-US" w:eastAsia="zh-CN" w:bidi="ar-SA"/>
        </w:rPr>
        <w:t>1.</w:t>
      </w:r>
      <w:r>
        <w:rPr>
          <w:rFonts w:hint="eastAsia" w:ascii="宋体" w:hAnsi="宋体" w:eastAsia="宋体" w:cs="宋体"/>
          <w:b w:val="0"/>
          <w:bCs w:val="0"/>
          <w:color w:val="auto"/>
          <w:sz w:val="24"/>
          <w:highlight w:val="none"/>
          <w:lang w:val="en-US" w:eastAsia="zh-CN"/>
        </w:rPr>
        <w:t>自货物最终验收合格之日起质保</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lang w:val="en-US" w:eastAsia="zh-CN"/>
        </w:rPr>
        <w:t>年，保修期</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lang w:val="en-US" w:eastAsia="zh-CN"/>
        </w:rPr>
        <w:t>年，保修期自质保期届满之日起计算。保修期内的质量问题必须及时免费提供维修服务，人工、备品、备件及耗材承诺保证供应且价格优惠</w:t>
      </w:r>
      <w:r>
        <w:rPr>
          <w:rFonts w:hint="eastAsia" w:ascii="宋体" w:hAnsi="宋体" w:cs="宋体"/>
          <w:b/>
          <w:bCs/>
          <w:color w:val="auto"/>
          <w:sz w:val="24"/>
          <w:highlight w:val="none"/>
          <w:lang w:val="en-US" w:eastAsia="zh-CN"/>
        </w:rPr>
        <w:t>（此项内容投标单位应按照实际情况填写）</w:t>
      </w:r>
    </w:p>
    <w:p>
      <w:pPr>
        <w:spacing w:line="360" w:lineRule="auto"/>
        <w:ind w:firstLine="480" w:firstLineChars="200"/>
        <w:rPr>
          <w:rFonts w:hint="default" w:ascii="宋体" w:hAnsi="宋体" w:eastAsia="宋体" w:cs="宋体"/>
          <w:b w:val="0"/>
          <w:bCs w:val="0"/>
          <w:color w:val="auto"/>
          <w:sz w:val="24"/>
          <w:highlight w:val="none"/>
          <w:lang w:val="en-US" w:eastAsia="zh-CN"/>
        </w:rPr>
      </w:pPr>
      <w:r>
        <w:rPr>
          <w:rFonts w:hint="eastAsia" w:ascii="宋体" w:hAnsi="宋体" w:cs="宋体"/>
          <w:color w:val="auto"/>
          <w:sz w:val="24"/>
          <w:highlight w:val="none"/>
        </w:rPr>
        <w:t>2.</w:t>
      </w:r>
      <w:r>
        <w:rPr>
          <w:rFonts w:hint="eastAsia" w:ascii="宋体" w:hAnsi="宋体" w:eastAsia="宋体" w:cs="宋体"/>
          <w:b w:val="0"/>
          <w:bCs w:val="0"/>
          <w:color w:val="auto"/>
          <w:sz w:val="24"/>
          <w:highlight w:val="none"/>
          <w:lang w:val="en-US" w:eastAsia="zh-CN"/>
        </w:rPr>
        <w:t>投标人对消防救援队伍提出的维修需求,要及时响应、远程指导修复。对远程指导不能修复的,要派技术人员</w:t>
      </w:r>
      <w:r>
        <w:rPr>
          <w:rFonts w:hint="eastAsia" w:ascii="宋体" w:hAnsi="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lang w:val="en-US" w:eastAsia="zh-CN"/>
        </w:rPr>
        <w:t>小时内到场维修。国内有配件的一般故障在</w:t>
      </w:r>
      <w:r>
        <w:rPr>
          <w:rFonts w:hint="eastAsia" w:ascii="宋体" w:hAnsi="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lang w:val="en-US" w:eastAsia="zh-CN"/>
        </w:rPr>
        <w:t>小时内修复,较大故障</w:t>
      </w:r>
      <w:r>
        <w:rPr>
          <w:rFonts w:hint="eastAsia" w:ascii="宋体" w:hAnsi="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lang w:val="en-US" w:eastAsia="zh-CN"/>
        </w:rPr>
        <w:t>内修复。国内没有配件的,应在60日内提供配件并修复。同时设立24小时值守电话</w:t>
      </w:r>
      <w:r>
        <w:rPr>
          <w:rFonts w:hint="eastAsia" w:ascii="宋体" w:hAnsi="宋体" w:cs="宋体"/>
          <w:b w:val="0"/>
          <w:bCs w:val="0"/>
          <w:color w:val="auto"/>
          <w:sz w:val="24"/>
          <w:highlight w:val="none"/>
          <w:lang w:val="en-US" w:eastAsia="zh-CN"/>
        </w:rPr>
        <w:t xml:space="preserve">（ </w:t>
      </w:r>
      <w:r>
        <w:rPr>
          <w:rFonts w:hint="eastAsia" w:ascii="宋体" w:hAnsi="宋体" w:cs="宋体"/>
          <w:b w:val="0"/>
          <w:bCs w:val="0"/>
          <w:color w:val="auto"/>
          <w:sz w:val="24"/>
          <w:highlight w:val="none"/>
          <w:u w:val="single"/>
          <w:lang w:val="en-US" w:eastAsia="zh-CN"/>
        </w:rPr>
        <w:t xml:space="preserve">               </w:t>
      </w:r>
      <w:r>
        <w:rPr>
          <w:rFonts w:hint="eastAsia" w:ascii="宋体" w:hAnsi="宋体" w:cs="宋体"/>
          <w:b w:val="0"/>
          <w:bCs w:val="0"/>
          <w:color w:val="auto"/>
          <w:sz w:val="24"/>
          <w:highlight w:val="none"/>
          <w:lang w:val="en-US" w:eastAsia="zh-CN"/>
        </w:rPr>
        <w:t>）</w:t>
      </w:r>
      <w:r>
        <w:rPr>
          <w:rFonts w:hint="eastAsia" w:ascii="宋体" w:hAnsi="宋体" w:cs="宋体"/>
          <w:b/>
          <w:bCs/>
          <w:color w:val="auto"/>
          <w:sz w:val="24"/>
          <w:highlight w:val="none"/>
          <w:lang w:val="en-US" w:eastAsia="zh-CN"/>
        </w:rPr>
        <w:t>（此项内容投标单位应按照实际情况填写）</w:t>
      </w:r>
    </w:p>
    <w:p>
      <w:pPr>
        <w:pStyle w:val="22"/>
        <w:ind w:firstLine="48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3.售后服务其他相关要求内容</w:t>
      </w:r>
      <w:r>
        <w:rPr>
          <w:rFonts w:hint="eastAsia" w:ascii="宋体" w:hAnsi="宋体" w:eastAsia="宋体" w:cs="宋体"/>
          <w:b/>
          <w:bCs/>
          <w:color w:val="auto"/>
          <w:kern w:val="2"/>
          <w:sz w:val="24"/>
          <w:szCs w:val="24"/>
          <w:highlight w:val="none"/>
          <w:lang w:val="en-US" w:eastAsia="zh-CN" w:bidi="ar-SA"/>
        </w:rPr>
        <w:t>（此项内容投标单位格式内容自拟）</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08" w:name="_Toc9788"/>
      <w:r>
        <w:rPr>
          <w:rFonts w:hint="eastAsia" w:ascii="宋体" w:hAnsi="宋体" w:eastAsia="宋体" w:cs="宋体"/>
          <w:color w:val="auto"/>
          <w:sz w:val="24"/>
          <w:highlight w:val="none"/>
        </w:rPr>
        <w:t>投标单位全称（公章）：</w:t>
      </w:r>
      <w:bookmarkEnd w:id="108"/>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09" w:name="_Toc21657"/>
      <w:r>
        <w:rPr>
          <w:rFonts w:hint="eastAsia" w:ascii="宋体" w:hAnsi="宋体" w:eastAsia="宋体" w:cs="宋体"/>
          <w:color w:val="auto"/>
          <w:sz w:val="24"/>
          <w:highlight w:val="none"/>
        </w:rPr>
        <w:t>法定代表人或授权代理人签字：</w:t>
      </w:r>
      <w:bookmarkEnd w:id="109"/>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10" w:name="_Toc2210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10"/>
    </w:p>
    <w:p>
      <w:pPr>
        <w:pStyle w:val="14"/>
        <w:spacing w:line="360" w:lineRule="auto"/>
        <w:outlineLvl w:val="0"/>
        <w:rPr>
          <w:rFonts w:hint="eastAsia" w:ascii="宋体" w:hAnsi="宋体" w:eastAsia="宋体" w:cs="宋体"/>
          <w:b/>
          <w:color w:val="auto"/>
          <w:szCs w:val="28"/>
          <w:highlight w:val="none"/>
        </w:rPr>
      </w:pPr>
      <w:bookmarkStart w:id="111" w:name="_Toc26805"/>
    </w:p>
    <w:p>
      <w:pPr>
        <w:pStyle w:val="14"/>
        <w:spacing w:line="360" w:lineRule="auto"/>
        <w:outlineLvl w:val="0"/>
        <w:rPr>
          <w:rFonts w:hint="eastAsia" w:ascii="宋体" w:hAnsi="宋体" w:eastAsia="宋体" w:cs="宋体"/>
          <w:b/>
          <w:color w:val="auto"/>
          <w:szCs w:val="28"/>
          <w:highlight w:val="none"/>
        </w:rPr>
      </w:pPr>
    </w:p>
    <w:p>
      <w:pPr>
        <w:pStyle w:val="14"/>
        <w:spacing w:line="360" w:lineRule="auto"/>
        <w:outlineLvl w:val="0"/>
        <w:rPr>
          <w:rFonts w:hint="eastAsia" w:ascii="宋体" w:hAnsi="宋体" w:eastAsia="宋体" w:cs="宋体"/>
          <w:b/>
          <w:color w:val="auto"/>
          <w:szCs w:val="28"/>
          <w:highlight w:val="none"/>
        </w:rPr>
      </w:pPr>
    </w:p>
    <w:p>
      <w:pPr>
        <w:pStyle w:val="14"/>
        <w:spacing w:line="360" w:lineRule="auto"/>
        <w:outlineLvl w:val="0"/>
        <w:rPr>
          <w:rFonts w:hint="eastAsia" w:ascii="宋体" w:hAnsi="宋体" w:eastAsia="宋体" w:cs="宋体"/>
          <w:b/>
          <w:color w:val="auto"/>
          <w:szCs w:val="28"/>
          <w:highlight w:val="none"/>
        </w:rPr>
      </w:pPr>
    </w:p>
    <w:p>
      <w:pPr>
        <w:rPr>
          <w:rFonts w:hint="eastAsia"/>
        </w:rPr>
      </w:pPr>
    </w:p>
    <w:p>
      <w:pPr>
        <w:pStyle w:val="14"/>
        <w:spacing w:line="360" w:lineRule="auto"/>
        <w:outlineLvl w:val="0"/>
        <w:rPr>
          <w:rFonts w:hint="eastAsia" w:ascii="宋体" w:hAnsi="宋体" w:eastAsia="宋体" w:cs="宋体"/>
          <w:b/>
          <w:color w:val="auto"/>
          <w:szCs w:val="28"/>
          <w:highlight w:val="none"/>
        </w:rPr>
      </w:pPr>
    </w:p>
    <w:p>
      <w:pPr>
        <w:pStyle w:val="14"/>
        <w:spacing w:line="360" w:lineRule="auto"/>
        <w:outlineLvl w:val="0"/>
        <w:rPr>
          <w:rFonts w:hint="eastAsia" w:ascii="宋体" w:hAnsi="宋体" w:eastAsia="宋体" w:cs="宋体"/>
          <w:b/>
          <w:color w:val="auto"/>
          <w:szCs w:val="28"/>
          <w:highlight w:val="none"/>
        </w:rPr>
      </w:pP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格式六：</w:t>
      </w:r>
      <w:bookmarkEnd w:id="111"/>
    </w:p>
    <w:p>
      <w:pPr>
        <w:spacing w:line="360" w:lineRule="auto"/>
        <w:jc w:val="center"/>
        <w:outlineLvl w:val="0"/>
        <w:rPr>
          <w:rFonts w:hint="eastAsia" w:ascii="宋体" w:hAnsi="宋体" w:eastAsia="宋体" w:cs="宋体"/>
          <w:b/>
          <w:color w:val="auto"/>
          <w:sz w:val="24"/>
          <w:szCs w:val="28"/>
          <w:highlight w:val="none"/>
        </w:rPr>
      </w:pPr>
      <w:bookmarkStart w:id="112" w:name="_Toc28720"/>
      <w:r>
        <w:rPr>
          <w:rFonts w:hint="eastAsia" w:ascii="宋体" w:hAnsi="宋体" w:eastAsia="宋体" w:cs="宋体"/>
          <w:b/>
          <w:color w:val="auto"/>
          <w:sz w:val="24"/>
          <w:szCs w:val="28"/>
          <w:highlight w:val="none"/>
          <w:lang w:val="en-US" w:eastAsia="zh-CN"/>
        </w:rPr>
        <w:t>法</w:t>
      </w:r>
      <w:r>
        <w:rPr>
          <w:rFonts w:hint="eastAsia" w:ascii="宋体" w:hAnsi="宋体" w:eastAsia="宋体" w:cs="宋体"/>
          <w:b/>
          <w:color w:val="auto"/>
          <w:sz w:val="24"/>
          <w:szCs w:val="28"/>
          <w:highlight w:val="none"/>
        </w:rPr>
        <w:t>人</w:t>
      </w:r>
      <w:r>
        <w:rPr>
          <w:rFonts w:hint="eastAsia" w:ascii="宋体" w:hAnsi="宋体" w:eastAsia="宋体" w:cs="宋体"/>
          <w:b/>
          <w:color w:val="auto"/>
          <w:sz w:val="24"/>
          <w:szCs w:val="28"/>
          <w:highlight w:val="none"/>
          <w:lang w:val="en-US" w:eastAsia="zh-CN"/>
        </w:rPr>
        <w:t>身份</w:t>
      </w:r>
      <w:r>
        <w:rPr>
          <w:rFonts w:hint="eastAsia" w:ascii="宋体" w:hAnsi="宋体" w:eastAsia="宋体" w:cs="宋体"/>
          <w:b/>
          <w:color w:val="auto"/>
          <w:sz w:val="24"/>
          <w:szCs w:val="28"/>
          <w:highlight w:val="none"/>
        </w:rPr>
        <w:t>证明</w:t>
      </w:r>
      <w:r>
        <w:rPr>
          <w:rFonts w:hint="eastAsia" w:ascii="宋体" w:hAnsi="宋体" w:eastAsia="宋体" w:cs="宋体"/>
          <w:b/>
          <w:color w:val="auto"/>
          <w:sz w:val="24"/>
          <w:szCs w:val="28"/>
          <w:highlight w:val="none"/>
          <w:lang w:val="en-US" w:eastAsia="zh-CN"/>
        </w:rPr>
        <w:t>书</w:t>
      </w:r>
      <w:r>
        <w:rPr>
          <w:rFonts w:hint="eastAsia" w:ascii="宋体" w:hAnsi="宋体" w:eastAsia="宋体" w:cs="宋体"/>
          <w:b/>
          <w:color w:val="auto"/>
          <w:sz w:val="24"/>
          <w:szCs w:val="28"/>
          <w:highlight w:val="none"/>
        </w:rPr>
        <w:t>（格式）</w:t>
      </w:r>
      <w:bookmarkEnd w:id="112"/>
    </w:p>
    <w:p>
      <w:pPr>
        <w:spacing w:line="360" w:lineRule="auto"/>
        <w:jc w:val="center"/>
        <w:outlineLvl w:val="9"/>
        <w:rPr>
          <w:rFonts w:hint="eastAsia" w:ascii="宋体" w:hAnsi="宋体" w:eastAsia="宋体" w:cs="宋体"/>
          <w:color w:val="auto"/>
          <w:sz w:val="24"/>
          <w:highlight w:val="none"/>
        </w:rPr>
      </w:pPr>
    </w:p>
    <w:p>
      <w:pPr>
        <w:spacing w:line="360" w:lineRule="auto"/>
        <w:ind w:firstLine="480" w:firstLineChars="200"/>
        <w:jc w:val="left"/>
        <w:outlineLvl w:val="0"/>
        <w:rPr>
          <w:rFonts w:hint="eastAsia" w:ascii="宋体" w:hAnsi="宋体" w:eastAsia="宋体" w:cs="宋体"/>
          <w:color w:val="auto"/>
          <w:sz w:val="24"/>
          <w:highlight w:val="none"/>
        </w:rPr>
      </w:pPr>
      <w:bookmarkStart w:id="113" w:name="_Toc19927"/>
      <w:r>
        <w:rPr>
          <w:rFonts w:hint="eastAsia" w:ascii="宋体" w:hAnsi="宋体" w:eastAsia="宋体" w:cs="宋体"/>
          <w:color w:val="auto"/>
          <w:sz w:val="24"/>
          <w:highlight w:val="none"/>
        </w:rPr>
        <w:t>兹证明：      （被证明人姓名）现任     公司的     （职务），系公司的</w:t>
      </w:r>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bookmarkEnd w:id="113"/>
    </w:p>
    <w:p>
      <w:pPr>
        <w:spacing w:line="360" w:lineRule="auto"/>
        <w:ind w:firstLine="480" w:firstLineChars="200"/>
        <w:outlineLvl w:val="0"/>
        <w:rPr>
          <w:rFonts w:hint="eastAsia" w:ascii="宋体" w:hAnsi="宋体" w:eastAsia="宋体" w:cs="宋体"/>
          <w:color w:val="auto"/>
          <w:sz w:val="24"/>
          <w:highlight w:val="none"/>
        </w:rPr>
      </w:pPr>
      <w:bookmarkStart w:id="114" w:name="_Toc2443"/>
      <w:r>
        <w:rPr>
          <w:rFonts w:hint="eastAsia" w:ascii="宋体" w:hAnsi="宋体" w:eastAsia="宋体" w:cs="宋体"/>
          <w:color w:val="auto"/>
          <w:sz w:val="24"/>
          <w:highlight w:val="none"/>
        </w:rPr>
        <w:t>特此证明。</w:t>
      </w:r>
      <w:bookmarkEnd w:id="114"/>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15" w:name="_Toc1442"/>
      <w:r>
        <w:rPr>
          <w:rFonts w:hint="eastAsia" w:ascii="宋体" w:hAnsi="宋体" w:eastAsia="宋体" w:cs="宋体"/>
          <w:color w:val="auto"/>
          <w:sz w:val="24"/>
          <w:highlight w:val="none"/>
        </w:rPr>
        <w:t>投标单位全称（公章）：</w:t>
      </w:r>
      <w:bookmarkEnd w:id="115"/>
    </w:p>
    <w:p>
      <w:pPr>
        <w:spacing w:line="360" w:lineRule="auto"/>
        <w:ind w:firstLine="480" w:firstLineChars="200"/>
        <w:outlineLvl w:val="0"/>
        <w:rPr>
          <w:rFonts w:hint="eastAsia" w:ascii="宋体" w:hAnsi="宋体" w:eastAsia="宋体" w:cs="宋体"/>
          <w:color w:val="auto"/>
          <w:sz w:val="24"/>
          <w:highlight w:val="none"/>
        </w:rPr>
      </w:pPr>
      <w:bookmarkStart w:id="116" w:name="_Toc15411"/>
      <w:r>
        <w:rPr>
          <w:rFonts w:hint="eastAsia" w:ascii="宋体" w:hAnsi="宋体" w:eastAsia="宋体" w:cs="宋体"/>
          <w:color w:val="auto"/>
          <w:sz w:val="24"/>
          <w:highlight w:val="none"/>
        </w:rPr>
        <w:t>地址：</w:t>
      </w:r>
      <w:bookmarkEnd w:id="116"/>
    </w:p>
    <w:p>
      <w:pPr>
        <w:spacing w:line="360" w:lineRule="auto"/>
        <w:ind w:firstLine="480" w:firstLineChars="200"/>
        <w:outlineLvl w:val="0"/>
        <w:rPr>
          <w:rFonts w:hint="eastAsia" w:ascii="宋体" w:hAnsi="宋体" w:eastAsia="宋体" w:cs="宋体"/>
          <w:color w:val="auto"/>
          <w:sz w:val="24"/>
          <w:highlight w:val="none"/>
        </w:rPr>
      </w:pPr>
      <w:bookmarkStart w:id="117" w:name="_Toc11951"/>
      <w:r>
        <w:rPr>
          <w:rFonts w:hint="eastAsia" w:ascii="宋体" w:hAnsi="宋体" w:eastAsia="宋体" w:cs="宋体"/>
          <w:color w:val="auto"/>
          <w:sz w:val="24"/>
          <w:highlight w:val="none"/>
        </w:rPr>
        <w:t>被证明人签字：</w:t>
      </w:r>
      <w:bookmarkEnd w:id="117"/>
    </w:p>
    <w:p>
      <w:pPr>
        <w:spacing w:line="360" w:lineRule="auto"/>
        <w:ind w:firstLine="555"/>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18" w:name="_Toc425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18"/>
    </w:p>
    <w:p>
      <w:pPr>
        <w:pStyle w:val="14"/>
        <w:spacing w:line="360" w:lineRule="auto"/>
        <w:outlineLvl w:val="9"/>
        <w:rPr>
          <w:rFonts w:hint="eastAsia" w:ascii="宋体" w:hAnsi="宋体" w:eastAsia="宋体" w:cs="宋体"/>
          <w:color w:val="auto"/>
          <w:szCs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19" w:name="_Toc2762"/>
      <w:r>
        <w:rPr>
          <w:rFonts w:hint="eastAsia" w:ascii="宋体" w:hAnsi="宋体" w:eastAsia="宋体" w:cs="宋体"/>
          <w:color w:val="auto"/>
          <w:szCs w:val="24"/>
          <w:highlight w:val="none"/>
        </w:rPr>
        <w:t>法定代表人身份证粘帖处</w:t>
      </w:r>
      <w:bookmarkEnd w:id="119"/>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sectPr>
          <w:pgSz w:w="11906" w:h="16838"/>
          <w:pgMar w:top="1361" w:right="1304" w:bottom="1247" w:left="1304" w:header="680" w:footer="680" w:gutter="0"/>
          <w:cols w:space="720" w:num="1"/>
          <w:docGrid w:linePitch="312" w:charSpace="0"/>
        </w:sectPr>
      </w:pPr>
    </w:p>
    <w:p>
      <w:pPr>
        <w:pStyle w:val="14"/>
        <w:spacing w:line="360" w:lineRule="auto"/>
        <w:outlineLvl w:val="0"/>
        <w:rPr>
          <w:rFonts w:hint="eastAsia" w:ascii="宋体" w:hAnsi="宋体" w:eastAsia="宋体" w:cs="宋体"/>
          <w:b/>
          <w:color w:val="auto"/>
          <w:szCs w:val="28"/>
          <w:highlight w:val="none"/>
        </w:rPr>
      </w:pPr>
      <w:bookmarkStart w:id="120" w:name="_Toc6079"/>
      <w:r>
        <w:rPr>
          <w:rFonts w:hint="eastAsia" w:ascii="宋体" w:hAnsi="宋体" w:eastAsia="宋体" w:cs="宋体"/>
          <w:b/>
          <w:color w:val="auto"/>
          <w:szCs w:val="28"/>
          <w:highlight w:val="none"/>
        </w:rPr>
        <w:t>格式七：</w:t>
      </w:r>
      <w:bookmarkEnd w:id="120"/>
    </w:p>
    <w:p>
      <w:pPr>
        <w:spacing w:line="360" w:lineRule="auto"/>
        <w:rPr>
          <w:rFonts w:hint="eastAsia" w:ascii="宋体" w:hAnsi="宋体" w:eastAsia="宋体" w:cs="宋体"/>
          <w:b/>
          <w:color w:val="auto"/>
          <w:sz w:val="24"/>
          <w:szCs w:val="28"/>
          <w:highlight w:val="none"/>
        </w:rPr>
      </w:pPr>
    </w:p>
    <w:p>
      <w:pPr>
        <w:snapToGrid w:val="0"/>
        <w:spacing w:line="360" w:lineRule="auto"/>
        <w:jc w:val="center"/>
        <w:textAlignment w:val="bottom"/>
        <w:outlineLvl w:val="0"/>
        <w:rPr>
          <w:rFonts w:hint="eastAsia" w:ascii="宋体" w:hAnsi="宋体" w:eastAsia="宋体" w:cs="宋体"/>
          <w:b/>
          <w:color w:val="auto"/>
          <w:sz w:val="24"/>
          <w:szCs w:val="28"/>
          <w:highlight w:val="none"/>
        </w:rPr>
      </w:pPr>
      <w:bookmarkStart w:id="121" w:name="_Toc11329"/>
      <w:r>
        <w:rPr>
          <w:rFonts w:hint="eastAsia" w:ascii="宋体" w:hAnsi="宋体" w:eastAsia="宋体" w:cs="宋体"/>
          <w:b/>
          <w:color w:val="auto"/>
          <w:sz w:val="24"/>
          <w:szCs w:val="28"/>
          <w:highlight w:val="none"/>
          <w:lang w:eastAsia="zh-CN"/>
        </w:rPr>
        <w:t>法定代表人</w:t>
      </w:r>
      <w:r>
        <w:rPr>
          <w:rFonts w:hint="eastAsia" w:ascii="宋体" w:hAnsi="宋体" w:eastAsia="宋体" w:cs="宋体"/>
          <w:b/>
          <w:color w:val="auto"/>
          <w:sz w:val="24"/>
          <w:szCs w:val="28"/>
          <w:highlight w:val="none"/>
        </w:rPr>
        <w:t>授权书（格式）</w:t>
      </w:r>
      <w:bookmarkEnd w:id="121"/>
    </w:p>
    <w:p>
      <w:pPr>
        <w:snapToGrid w:val="0"/>
        <w:spacing w:line="360" w:lineRule="auto"/>
        <w:jc w:val="center"/>
        <w:textAlignment w:val="bottom"/>
        <w:rPr>
          <w:rFonts w:hint="eastAsia" w:ascii="宋体" w:hAnsi="宋体" w:eastAsia="宋体" w:cs="宋体"/>
          <w:b/>
          <w:bCs/>
          <w:color w:val="auto"/>
          <w:sz w:val="24"/>
          <w:szCs w:val="28"/>
          <w:highlight w:val="none"/>
        </w:rPr>
      </w:pP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ind w:firstLine="480" w:firstLineChars="20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法定代表人</w:t>
      </w:r>
      <w:r>
        <w:rPr>
          <w:rFonts w:hint="eastAsia" w:ascii="宋体" w:hAnsi="宋体" w:eastAsia="宋体" w:cs="宋体"/>
          <w:color w:val="auto"/>
          <w:sz w:val="24"/>
          <w:highlight w:val="none"/>
          <w:u w:val="single"/>
        </w:rPr>
        <w:t>姓名、职务）</w:t>
      </w:r>
      <w:r>
        <w:rPr>
          <w:rFonts w:hint="eastAsia" w:ascii="宋体" w:hAnsi="宋体" w:eastAsia="宋体" w:cs="宋体"/>
          <w:color w:val="auto"/>
          <w:sz w:val="24"/>
          <w:highlight w:val="none"/>
        </w:rPr>
        <w:t>授权</w:t>
      </w:r>
      <w:r>
        <w:rPr>
          <w:rFonts w:hint="eastAsia" w:ascii="宋体" w:hAnsi="宋体" w:eastAsia="宋体" w:cs="宋体"/>
          <w:color w:val="auto"/>
          <w:sz w:val="24"/>
          <w:highlight w:val="none"/>
          <w:u w:val="single"/>
        </w:rPr>
        <w:t xml:space="preserve">        （被授权人的姓名、职务）</w:t>
      </w:r>
      <w:r>
        <w:rPr>
          <w:rFonts w:hint="eastAsia" w:ascii="宋体" w:hAnsi="宋体" w:eastAsia="宋体" w:cs="宋体"/>
          <w:color w:val="auto"/>
          <w:sz w:val="24"/>
          <w:highlight w:val="none"/>
        </w:rPr>
        <w:t>为本公司的合法代理人，就</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）的投标以及合同的谈判、签约、执行、完成和保修等全权负责，以本公司名义处理一切与之有关的事务。</w:t>
      </w: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日签字生效，特此声明。</w:t>
      </w: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投标人名称（盖章）：</w:t>
      </w:r>
    </w:p>
    <w:p>
      <w:pPr>
        <w:snapToGrid w:val="0"/>
        <w:spacing w:line="360" w:lineRule="auto"/>
        <w:ind w:firstLine="972" w:firstLineChars="40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59264" behindDoc="0" locked="0" layoutInCell="0" allowOverlap="1">
                <wp:simplePos x="0" y="0"/>
                <wp:positionH relativeFrom="column">
                  <wp:posOffset>2753360</wp:posOffset>
                </wp:positionH>
                <wp:positionV relativeFrom="paragraph">
                  <wp:posOffset>179705</wp:posOffset>
                </wp:positionV>
                <wp:extent cx="139319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39319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16.8pt;margin-top:14.15pt;height:0pt;width:109.7pt;z-index:251659264;mso-width-relative:page;mso-height-relative:page;" filled="f" stroked="t" coordsize="21600,21600" o:allowincell="f" o:gfxdata="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3JBatYAAAAJAQAADwAAAAAAAAABACAAAAAiAAAAZHJzL2Rvd25yZXYueG1sUEsBAhQAFAAA&#10;AAgAh07iQOLjCMjxAQAA5gMAAA4AAAAAAAAAAQAgAAAAJQEAAGRycy9lMm9Eb2MueG1sUEsFBgAA&#10;AAAGAAYAWQEAAIg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授权人（</w:t>
      </w:r>
      <w:r>
        <w:rPr>
          <w:rFonts w:hint="eastAsia" w:ascii="宋体" w:hAnsi="宋体" w:eastAsia="宋体" w:cs="宋体"/>
          <w:color w:val="auto"/>
          <w:sz w:val="24"/>
          <w:highlight w:val="none"/>
          <w:lang w:eastAsia="zh-CN"/>
        </w:rPr>
        <w:t>法定代表人</w:t>
      </w:r>
      <w:r>
        <w:rPr>
          <w:rFonts w:hint="eastAsia" w:ascii="宋体" w:hAnsi="宋体" w:eastAsia="宋体" w:cs="宋体"/>
          <w:color w:val="auto"/>
          <w:sz w:val="24"/>
          <w:highlight w:val="none"/>
        </w:rPr>
        <w:t>）签字：</w:t>
      </w:r>
    </w:p>
    <w:p>
      <w:pPr>
        <w:snapToGrid w:val="0"/>
        <w:spacing w:line="360" w:lineRule="auto"/>
        <w:textAlignment w:val="bottom"/>
        <w:rPr>
          <w:rFonts w:hint="eastAsia" w:ascii="宋体" w:hAnsi="宋体" w:eastAsia="宋体" w:cs="宋体"/>
          <w:color w:val="auto"/>
          <w:sz w:val="24"/>
          <w:highlight w:val="none"/>
          <w:u w:val="single"/>
        </w:rPr>
      </w:pPr>
    </w:p>
    <w:p>
      <w:pPr>
        <w:snapToGrid w:val="0"/>
        <w:spacing w:line="360" w:lineRule="auto"/>
        <w:textAlignment w:val="bottom"/>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2767330</wp:posOffset>
                </wp:positionH>
                <wp:positionV relativeFrom="paragraph">
                  <wp:posOffset>193675</wp:posOffset>
                </wp:positionV>
                <wp:extent cx="1360170" cy="4445"/>
                <wp:effectExtent l="0" t="0" r="0" b="0"/>
                <wp:wrapNone/>
                <wp:docPr id="1" name="直线 3"/>
                <wp:cNvGraphicFramePr/>
                <a:graphic xmlns:a="http://schemas.openxmlformats.org/drawingml/2006/main">
                  <a:graphicData uri="http://schemas.microsoft.com/office/word/2010/wordprocessingShape">
                    <wps:wsp>
                      <wps:cNvCnPr/>
                      <wps:spPr>
                        <a:xfrm>
                          <a:off x="0" y="0"/>
                          <a:ext cx="1360170"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217.9pt;margin-top:15.25pt;height:0.35pt;width:107.1pt;z-index:251660288;mso-width-relative:page;mso-height-relative:page;" filled="f" stroked="t" coordsize="21600,21600" o:gfxdata="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ZWj&#10;SdcAAAAJAQAADwAAAAAAAAABACAAAAAiAAAAZHJzL2Rvd25yZXYueG1sUEsBAhQAFAAAAAgAh07i&#10;QHy3dWHqAQAA3gMAAA4AAAAAAAAAAQAgAAAAJgEAAGRycy9lMm9Eb2MueG1sUEsFBgAAAAAGAAYA&#10;WQEAAII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被授权人（代理人）签字：</w:t>
      </w: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22" w:name="_Toc29577"/>
      <w:r>
        <w:rPr>
          <w:rFonts w:hint="eastAsia" w:ascii="宋体" w:hAnsi="宋体" w:eastAsia="宋体" w:cs="宋体"/>
          <w:color w:val="auto"/>
          <w:szCs w:val="24"/>
          <w:highlight w:val="none"/>
        </w:rPr>
        <w:t>被授权人身份证粘帖处</w:t>
      </w:r>
      <w:bookmarkEnd w:id="122"/>
    </w:p>
    <w:p>
      <w:pPr>
        <w:snapToGrid w:val="0"/>
        <w:spacing w:line="360" w:lineRule="auto"/>
        <w:textAlignment w:val="bottom"/>
        <w:rPr>
          <w:rFonts w:hint="eastAsia" w:ascii="宋体" w:hAnsi="宋体" w:eastAsia="宋体" w:cs="宋体"/>
          <w:b/>
          <w:bCs/>
          <w:color w:val="auto"/>
          <w:sz w:val="24"/>
          <w:szCs w:val="28"/>
          <w:highlight w:val="none"/>
        </w:rPr>
      </w:pPr>
    </w:p>
    <w:p>
      <w:pPr>
        <w:pStyle w:val="13"/>
        <w:spacing w:line="500" w:lineRule="exact"/>
        <w:jc w:val="left"/>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pStyle w:val="13"/>
        <w:spacing w:line="500" w:lineRule="exact"/>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格式八：</w:t>
      </w:r>
    </w:p>
    <w:p>
      <w:pPr>
        <w:widowControl/>
        <w:autoSpaceDE w:val="0"/>
        <w:autoSpaceDN w:val="0"/>
        <w:ind w:right="-12"/>
        <w:jc w:val="center"/>
        <w:textAlignment w:val="bottom"/>
        <w:outlineLvl w:val="0"/>
        <w:rPr>
          <w:rFonts w:hint="eastAsia" w:ascii="宋体" w:hAnsi="宋体" w:eastAsia="宋体" w:cs="宋体"/>
          <w:bCs/>
          <w:color w:val="auto"/>
          <w:sz w:val="24"/>
          <w:highlight w:val="none"/>
        </w:rPr>
      </w:pPr>
      <w:bookmarkStart w:id="123" w:name="_Toc23748"/>
      <w:r>
        <w:rPr>
          <w:rFonts w:hint="eastAsia" w:ascii="宋体" w:hAnsi="宋体" w:eastAsia="宋体" w:cs="宋体"/>
          <w:b/>
          <w:color w:val="auto"/>
          <w:sz w:val="24"/>
          <w:highlight w:val="none"/>
        </w:rPr>
        <w:t>中小企业声明函</w:t>
      </w:r>
      <w:r>
        <w:rPr>
          <w:rFonts w:hint="eastAsia" w:ascii="宋体" w:hAnsi="宋体" w:eastAsia="宋体" w:cs="宋体"/>
          <w:b/>
          <w:color w:val="auto"/>
          <w:sz w:val="24"/>
          <w:szCs w:val="28"/>
          <w:highlight w:val="none"/>
        </w:rPr>
        <w:t>（格式）</w:t>
      </w:r>
      <w:bookmarkEnd w:id="123"/>
    </w:p>
    <w:p>
      <w:pPr>
        <w:pStyle w:val="19"/>
        <w:snapToGrid w:val="0"/>
        <w:spacing w:beforeAutospacing="0" w:afterAutospacing="0" w:line="440" w:lineRule="exact"/>
        <w:jc w:val="both"/>
        <w:rPr>
          <w:rFonts w:hint="eastAsia" w:ascii="宋体" w:hAnsi="宋体" w:eastAsia="宋体" w:cs="宋体"/>
          <w:bCs/>
          <w:color w:val="auto"/>
          <w:highlight w:val="none"/>
        </w:rPr>
      </w:pPr>
    </w:p>
    <w:p>
      <w:pPr>
        <w:pStyle w:val="19"/>
        <w:snapToGrid w:val="0"/>
        <w:spacing w:beforeAutospacing="0" w:afterAutospacing="0" w:line="440" w:lineRule="exact"/>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中小企业声明函</w:t>
      </w:r>
    </w:p>
    <w:p>
      <w:pPr>
        <w:keepNext w:val="0"/>
        <w:keepLines w:val="0"/>
        <w:pageBreakBefore w:val="0"/>
        <w:widowControl w:val="0"/>
        <w:kinsoku/>
        <w:wordWrap/>
        <w:overflowPunct/>
        <w:topLinePunct w:val="0"/>
        <w:autoSpaceDE/>
        <w:autoSpaceDN/>
        <w:bidi w:val="0"/>
        <w:adjustRightInd w:val="0"/>
        <w:snapToGrid w:val="0"/>
        <w:spacing w:line="520" w:lineRule="atLeast"/>
        <w:ind w:firstLine="56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采购活动，提供的货物全部由符合政策要求的中小企业制造。相关企业 （含联合体中的中小企业、签订分包意向协议的中小企业） 的具体情况如下：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本企业对上述声明内容的真实性负责。如有虚假，将依法承担相应责任。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textAlignment w:val="auto"/>
        <w:rPr>
          <w:rFonts w:hint="eastAsia" w:ascii="宋体" w:hAnsi="宋体" w:eastAsia="宋体" w:cs="宋体"/>
          <w:color w:val="auto"/>
          <w:sz w:val="24"/>
          <w:szCs w:val="24"/>
          <w:highlight w:val="none"/>
          <w:lang w:eastAsia="zh-CN"/>
        </w:rPr>
      </w:pPr>
    </w:p>
    <w:p>
      <w:pPr>
        <w:spacing w:line="440" w:lineRule="exact"/>
        <w:jc w:val="center"/>
        <w:rPr>
          <w:rFonts w:hint="eastAsia" w:ascii="宋体" w:hAnsi="宋体" w:eastAsia="宋体" w:cs="宋体"/>
          <w:b/>
          <w:bCs/>
          <w:color w:val="auto"/>
          <w:sz w:val="24"/>
          <w:highlight w:val="none"/>
          <w:lang w:val="zh-CN"/>
        </w:rPr>
      </w:pPr>
      <w:r>
        <w:rPr>
          <w:rFonts w:hint="eastAsia" w:ascii="宋体" w:hAnsi="宋体" w:eastAsia="宋体" w:cs="宋体"/>
          <w:color w:val="auto"/>
          <w:sz w:val="24"/>
          <w:szCs w:val="24"/>
          <w:highlight w:val="none"/>
          <w:lang w:eastAsia="zh-CN"/>
        </w:rPr>
        <w:t>注：</w:t>
      </w:r>
      <w:r>
        <w:rPr>
          <w:rFonts w:hint="eastAsia" w:ascii="宋体" w:hAnsi="宋体" w:eastAsia="宋体" w:cs="宋体"/>
          <w:color w:val="auto"/>
          <w:sz w:val="24"/>
          <w:szCs w:val="24"/>
          <w:highlight w:val="none"/>
        </w:rPr>
        <w:t>从业人员、营业收入、资产总额填报上一年度数据，无上一年度数据的新成立企业可不填报。</w:t>
      </w:r>
    </w:p>
    <w:p>
      <w:pPr>
        <w:spacing w:line="440" w:lineRule="exact"/>
        <w:jc w:val="center"/>
        <w:rPr>
          <w:rFonts w:hint="eastAsia" w:ascii="宋体" w:hAnsi="宋体" w:eastAsia="宋体" w:cs="宋体"/>
          <w:b/>
          <w:bCs/>
          <w:color w:val="auto"/>
          <w:sz w:val="24"/>
          <w:highlight w:val="none"/>
          <w:lang w:val="zh-CN"/>
        </w:rPr>
      </w:pPr>
    </w:p>
    <w:p>
      <w:pPr>
        <w:rPr>
          <w:rFonts w:hint="eastAsia" w:ascii="宋体" w:hAnsi="宋体" w:eastAsia="宋体" w:cs="宋体"/>
          <w:color w:val="auto"/>
          <w:highlight w:val="none"/>
        </w:rPr>
        <w:sectPr>
          <w:pgSz w:w="11906" w:h="16838"/>
          <w:pgMar w:top="1361" w:right="1304" w:bottom="1247" w:left="1304" w:header="680" w:footer="680" w:gutter="0"/>
          <w:cols w:space="720" w:num="1"/>
          <w:docGrid w:linePitch="312" w:charSpace="0"/>
        </w:sectPr>
      </w:pPr>
      <w:r>
        <w:rPr>
          <w:rFonts w:hint="eastAsia" w:ascii="宋体" w:hAnsi="宋体" w:eastAsia="宋体" w:cs="宋体"/>
          <w:b/>
          <w:bCs/>
          <w:color w:val="auto"/>
          <w:sz w:val="24"/>
          <w:highlight w:val="none"/>
        </w:rPr>
        <w:t>注：如投标人虚假承诺本声明函，中标的投标人采购人有权拒绝与其签署合同，并追究其法律责任，未中标投标人视为其虚假响应，并将此虚假响应情况报送主管部门处理。</w:t>
      </w:r>
    </w:p>
    <w:p>
      <w:pPr>
        <w:spacing w:before="0" w:after="0" w:line="240" w:lineRule="auto"/>
        <w:ind w:left="0" w:right="-12" w:firstLine="0"/>
        <w:jc w:val="center"/>
        <w:outlineLvl w:val="0"/>
        <w:rPr>
          <w:rFonts w:hint="eastAsia" w:ascii="宋体" w:hAnsi="宋体" w:eastAsia="宋体" w:cs="宋体"/>
          <w:b/>
          <w:color w:val="auto"/>
          <w:spacing w:val="0"/>
          <w:position w:val="0"/>
          <w:sz w:val="24"/>
          <w:highlight w:val="none"/>
          <w:shd w:val="clear" w:fill="auto"/>
        </w:rPr>
      </w:pPr>
      <w:bookmarkStart w:id="124" w:name="_Toc20734"/>
      <w:r>
        <w:rPr>
          <w:rFonts w:hint="eastAsia" w:ascii="宋体" w:hAnsi="宋体" w:eastAsia="宋体" w:cs="宋体"/>
          <w:b/>
          <w:color w:val="auto"/>
          <w:spacing w:val="0"/>
          <w:position w:val="0"/>
          <w:sz w:val="24"/>
          <w:highlight w:val="none"/>
          <w:shd w:val="clear" w:fill="auto"/>
        </w:rPr>
        <w:t>残疾人福利性单位声明函</w:t>
      </w:r>
      <w:bookmarkEnd w:id="124"/>
    </w:p>
    <w:p>
      <w:pPr>
        <w:autoSpaceDE w:val="0"/>
        <w:autoSpaceDN w:val="0"/>
        <w:adjustRightInd w:val="0"/>
        <w:spacing w:beforeLines="50" w:afterLines="50"/>
        <w:ind w:firstLine="480" w:firstLineChars="200"/>
        <w:jc w:val="center"/>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（如果是，提供）</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货物），或者提供其他残疾人福利性单位制造的货物（不包括使用非残疾人福利性单位注册商标的货物）。</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本单位对上述声明的真实性负责。如有虚假，将依法承担相应责任。</w:t>
      </w: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pPr>
        <w:adjustRightInd w:val="0"/>
        <w:snapToGrid w:val="0"/>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adjustRightInd w:val="0"/>
        <w:snapToGrid w:val="0"/>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lang w:eastAsia="zh-CN"/>
        </w:rPr>
        <w:t>盖</w:t>
      </w:r>
      <w:r>
        <w:rPr>
          <w:rFonts w:hint="eastAsia" w:ascii="宋体" w:hAnsi="宋体" w:eastAsia="宋体" w:cs="宋体"/>
          <w:color w:val="auto"/>
          <w:sz w:val="24"/>
          <w:highlight w:val="none"/>
        </w:rPr>
        <w:t>章）：</w:t>
      </w:r>
      <w:r>
        <w:rPr>
          <w:rFonts w:hint="eastAsia" w:ascii="宋体" w:hAnsi="宋体" w:eastAsia="宋体" w:cs="宋体"/>
          <w:color w:val="auto"/>
          <w:sz w:val="24"/>
          <w:highlight w:val="none"/>
          <w:u w:val="single"/>
        </w:rPr>
        <w:t xml:space="preserve">                                    </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cs="宋体"/>
          <w:snapToGrid w:val="0"/>
          <w:color w:val="auto"/>
          <w:kern w:val="0"/>
          <w:sz w:val="24"/>
          <w:highlight w:val="none"/>
          <w:lang w:eastAsia="zh-CN"/>
        </w:rPr>
        <w:t>法定代表人</w:t>
      </w:r>
      <w:r>
        <w:rPr>
          <w:rFonts w:hint="eastAsia" w:ascii="宋体" w:hAnsi="宋体" w:eastAsia="宋体" w:cs="宋体"/>
          <w:snapToGrid w:val="0"/>
          <w:color w:val="auto"/>
          <w:kern w:val="0"/>
          <w:sz w:val="24"/>
          <w:highlight w:val="none"/>
        </w:rPr>
        <w:t>或授权代表（签</w:t>
      </w:r>
      <w:r>
        <w:rPr>
          <w:rFonts w:hint="eastAsia" w:ascii="宋体" w:hAnsi="宋体" w:eastAsia="宋体" w:cs="宋体"/>
          <w:snapToGrid w:val="0"/>
          <w:color w:val="auto"/>
          <w:kern w:val="0"/>
          <w:sz w:val="24"/>
          <w:highlight w:val="none"/>
          <w:lang w:eastAsia="zh-CN"/>
        </w:rPr>
        <w:t>字</w:t>
      </w:r>
      <w:r>
        <w:rPr>
          <w:rFonts w:hint="eastAsia" w:ascii="宋体" w:hAnsi="宋体" w:eastAsia="宋体" w:cs="宋体"/>
          <w:snapToGrid w:val="0"/>
          <w:color w:val="auto"/>
          <w:kern w:val="0"/>
          <w:sz w:val="24"/>
          <w:highlight w:val="none"/>
        </w:rPr>
        <w:t>）</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p>
    <w:p>
      <w:pPr>
        <w:tabs>
          <w:tab w:val="left" w:pos="1573"/>
        </w:tabs>
        <w:rPr>
          <w:rFonts w:hint="eastAsia" w:ascii="宋体" w:hAnsi="宋体" w:eastAsia="宋体" w:cs="宋体"/>
          <w:color w:val="auto"/>
          <w:sz w:val="24"/>
          <w:highlight w:val="none"/>
        </w:rPr>
      </w:pPr>
    </w:p>
    <w:p>
      <w:pPr>
        <w:pStyle w:val="11"/>
        <w:adjustRightInd w:val="0"/>
        <w:snapToGrid w:val="0"/>
        <w:ind w:firstLine="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 xml:space="preserve">                    </w:t>
      </w:r>
    </w:p>
    <w:p>
      <w:pPr>
        <w:pStyle w:val="11"/>
        <w:adjustRightInd w:val="0"/>
        <w:snapToGrid w:val="0"/>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日期:</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年</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月</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日</w:t>
      </w:r>
    </w:p>
    <w:p>
      <w:pPr>
        <w:adjustRightInd w:val="0"/>
        <w:snapToGrid w:val="0"/>
        <w:ind w:firstLine="480" w:firstLineChars="200"/>
        <w:rPr>
          <w:rFonts w:hint="eastAsia" w:ascii="宋体" w:hAnsi="宋体" w:eastAsia="宋体" w:cs="宋体"/>
          <w:snapToGrid w:val="0"/>
          <w:color w:val="auto"/>
          <w:kern w:val="0"/>
          <w:sz w:val="24"/>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color w:val="auto"/>
          <w:kern w:val="0"/>
          <w:sz w:val="30"/>
          <w:szCs w:val="30"/>
          <w:highlight w:val="none"/>
        </w:rPr>
      </w:pPr>
      <w:r>
        <w:rPr>
          <w:rFonts w:hint="eastAsia" w:ascii="宋体" w:hAnsi="宋体" w:eastAsia="宋体" w:cs="宋体"/>
          <w:color w:val="auto"/>
          <w:kern w:val="0"/>
          <w:sz w:val="30"/>
          <w:szCs w:val="30"/>
          <w:highlight w:val="none"/>
        </w:rPr>
        <w:br w:type="page"/>
      </w:r>
    </w:p>
    <w:p>
      <w:pPr>
        <w:spacing w:before="0" w:after="0" w:line="240" w:lineRule="auto"/>
        <w:ind w:left="0" w:right="-12"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省级以上监狱管理局、戒毒管理局（含新疆生产建设兵团）出具的属于监狱企业的证明文件</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r>
        <w:rPr>
          <w:rFonts w:hint="eastAsia" w:ascii="宋体" w:hAnsi="宋体" w:eastAsia="宋体" w:cs="宋体"/>
          <w:color w:val="auto"/>
          <w:kern w:val="0"/>
          <w:sz w:val="24"/>
          <w:highlight w:val="none"/>
        </w:rPr>
        <w:t>（如果是，提供）</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p>
    <w:p>
      <w:pPr>
        <w:rPr>
          <w:rFonts w:hint="eastAsia" w:ascii="宋体" w:hAnsi="宋体" w:eastAsia="宋体" w:cs="宋体"/>
          <w:color w:val="auto"/>
          <w:kern w:val="0"/>
          <w:sz w:val="30"/>
          <w:szCs w:val="30"/>
          <w:highlight w:val="none"/>
        </w:rPr>
        <w:sectPr>
          <w:pgSz w:w="11906" w:h="16838"/>
          <w:pgMar w:top="1361" w:right="1304" w:bottom="1247" w:left="1304" w:header="680" w:footer="680" w:gutter="0"/>
          <w:cols w:space="720" w:num="1"/>
          <w:docGrid w:linePitch="312" w:charSpace="0"/>
        </w:sectPr>
      </w:pPr>
    </w:p>
    <w:p>
      <w:pPr>
        <w:ind w:left="-48" w:leftChars="-23" w:right="-65" w:rightChars="-31"/>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中小企业划型标准</w:t>
      </w:r>
    </w:p>
    <w:tbl>
      <w:tblPr>
        <w:tblStyle w:val="24"/>
        <w:tblW w:w="13873" w:type="dxa"/>
        <w:jc w:val="center"/>
        <w:tblLayout w:type="fixed"/>
        <w:tblCellMar>
          <w:top w:w="0" w:type="dxa"/>
          <w:left w:w="108" w:type="dxa"/>
          <w:bottom w:w="0" w:type="dxa"/>
          <w:right w:w="108" w:type="dxa"/>
        </w:tblCellMar>
      </w:tblPr>
      <w:tblGrid>
        <w:gridCol w:w="468"/>
        <w:gridCol w:w="1872"/>
        <w:gridCol w:w="1149"/>
        <w:gridCol w:w="885"/>
        <w:gridCol w:w="902"/>
        <w:gridCol w:w="1063"/>
        <w:gridCol w:w="905"/>
        <w:gridCol w:w="957"/>
        <w:gridCol w:w="1063"/>
        <w:gridCol w:w="921"/>
        <w:gridCol w:w="963"/>
        <w:gridCol w:w="1063"/>
        <w:gridCol w:w="846"/>
        <w:gridCol w:w="816"/>
      </w:tblGrid>
      <w:tr>
        <w:tblPrEx>
          <w:tblCellMar>
            <w:top w:w="0" w:type="dxa"/>
            <w:left w:w="108" w:type="dxa"/>
            <w:bottom w:w="0" w:type="dxa"/>
            <w:right w:w="108" w:type="dxa"/>
          </w:tblCellMar>
        </w:tblPrEx>
        <w:trPr>
          <w:trHeight w:val="500" w:hRule="atLeast"/>
          <w:tblHeader/>
          <w:jc w:val="center"/>
        </w:trPr>
        <w:tc>
          <w:tcPr>
            <w:tcW w:w="468" w:type="dxa"/>
            <w:vMerge w:val="restart"/>
            <w:tcBorders>
              <w:top w:val="single" w:color="auto" w:sz="4" w:space="0"/>
              <w:left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1872" w:type="dxa"/>
            <w:vMerge w:val="restart"/>
            <w:tcBorders>
              <w:top w:val="single" w:color="auto" w:sz="4" w:space="0"/>
              <w:left w:val="nil"/>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行业</w:t>
            </w:r>
          </w:p>
        </w:tc>
        <w:tc>
          <w:tcPr>
            <w:tcW w:w="2936"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大型企业</w:t>
            </w:r>
          </w:p>
        </w:tc>
        <w:tc>
          <w:tcPr>
            <w:tcW w:w="29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中型企业</w:t>
            </w:r>
          </w:p>
        </w:tc>
        <w:tc>
          <w:tcPr>
            <w:tcW w:w="2947"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小型企业</w:t>
            </w:r>
          </w:p>
        </w:tc>
        <w:tc>
          <w:tcPr>
            <w:tcW w:w="27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微型企业</w:t>
            </w:r>
          </w:p>
        </w:tc>
      </w:tr>
      <w:tr>
        <w:tblPrEx>
          <w:tblCellMar>
            <w:top w:w="0" w:type="dxa"/>
            <w:left w:w="108" w:type="dxa"/>
            <w:bottom w:w="0" w:type="dxa"/>
            <w:right w:w="108" w:type="dxa"/>
          </w:tblCellMar>
        </w:tblPrEx>
        <w:trPr>
          <w:trHeight w:val="226" w:hRule="atLeast"/>
          <w:tblHeader/>
          <w:jc w:val="center"/>
        </w:trPr>
        <w:tc>
          <w:tcPr>
            <w:tcW w:w="468" w:type="dxa"/>
            <w:vMerge w:val="continue"/>
            <w:tcBorders>
              <w:left w:val="single" w:color="auto" w:sz="4" w:space="0"/>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p>
        </w:tc>
        <w:tc>
          <w:tcPr>
            <w:tcW w:w="1872" w:type="dxa"/>
            <w:vMerge w:val="continue"/>
            <w:tcBorders>
              <w:left w:val="nil"/>
              <w:bottom w:val="single" w:color="auto" w:sz="4" w:space="0"/>
              <w:right w:val="single" w:color="auto" w:sz="4" w:space="0"/>
            </w:tcBorders>
            <w:vAlign w:val="center"/>
          </w:tcPr>
          <w:p>
            <w:pPr>
              <w:ind w:left="-48" w:leftChars="-23" w:right="-65" w:rightChars="-31"/>
              <w:jc w:val="left"/>
              <w:rPr>
                <w:rFonts w:hint="eastAsia" w:ascii="宋体" w:hAnsi="宋体" w:eastAsia="宋体" w:cs="宋体"/>
                <w:b/>
                <w:color w:val="auto"/>
                <w:kern w:val="0"/>
                <w:szCs w:val="21"/>
                <w:highlight w:val="none"/>
              </w:rPr>
            </w:pPr>
          </w:p>
        </w:tc>
        <w:tc>
          <w:tcPr>
            <w:tcW w:w="1149"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8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02"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0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57"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21" w:type="dxa"/>
            <w:tcBorders>
              <w:top w:val="nil"/>
              <w:left w:val="nil"/>
              <w:bottom w:val="single" w:color="auto" w:sz="4" w:space="0"/>
              <w:right w:val="single" w:color="auto" w:sz="4" w:space="0"/>
            </w:tcBorders>
            <w:vAlign w:val="center"/>
          </w:tcPr>
          <w:p>
            <w:pPr>
              <w:ind w:left="119" w:leftChars="-23" w:right="-65" w:rightChars="-31" w:hanging="167" w:hangingChars="79"/>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4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81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r>
      <w:tr>
        <w:tblPrEx>
          <w:tblCellMar>
            <w:top w:w="0" w:type="dxa"/>
            <w:left w:w="108" w:type="dxa"/>
            <w:bottom w:w="0" w:type="dxa"/>
            <w:right w:w="108" w:type="dxa"/>
          </w:tblCellMar>
        </w:tblPrEx>
        <w:trPr>
          <w:trHeight w:val="369" w:hRule="atLeast"/>
          <w:jc w:val="center"/>
        </w:trPr>
        <w:tc>
          <w:tcPr>
            <w:tcW w:w="468" w:type="dxa"/>
            <w:tcBorders>
              <w:top w:val="single" w:color="auto" w:sz="4" w:space="0"/>
              <w:left w:val="single" w:color="auto" w:sz="4" w:space="0"/>
              <w:bottom w:val="single" w:color="auto" w:sz="4" w:space="0"/>
              <w:right w:val="single" w:color="auto" w:sz="4" w:space="0"/>
            </w:tcBorders>
            <w:vAlign w:val="center"/>
          </w:tcPr>
          <w:p>
            <w:pPr>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w:t>
            </w:r>
          </w:p>
        </w:tc>
        <w:tc>
          <w:tcPr>
            <w:tcW w:w="1872" w:type="dxa"/>
            <w:tcBorders>
              <w:top w:val="single" w:color="auto" w:sz="4" w:space="0"/>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农、林、牧、渔业</w:t>
            </w:r>
          </w:p>
        </w:tc>
        <w:tc>
          <w:tcPr>
            <w:tcW w:w="1149" w:type="dxa"/>
            <w:tcBorders>
              <w:top w:val="single" w:color="auto" w:sz="4" w:space="0"/>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工业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建筑业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批发业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零售业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交通运输业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7</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仓储业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8</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邮政业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9</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住宿业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10</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餐饮业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11</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信息传输业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lang w:eastAsia="zh-CN"/>
              </w:rPr>
            </w:pPr>
            <w:r>
              <w:rPr>
                <w:rFonts w:hint="eastAsia" w:ascii="宋体" w:hAnsi="宋体" w:eastAsia="宋体" w:cs="宋体"/>
                <w:b/>
                <w:color w:val="auto"/>
                <w:kern w:val="0"/>
                <w:szCs w:val="21"/>
                <w:highlight w:val="none"/>
              </w:rPr>
              <w:t>软件和信息技术</w:t>
            </w:r>
            <w:r>
              <w:rPr>
                <w:rFonts w:hint="eastAsia" w:ascii="宋体" w:hAnsi="宋体" w:eastAsia="宋体" w:cs="宋体"/>
                <w:b/>
                <w:color w:val="auto"/>
                <w:kern w:val="0"/>
                <w:szCs w:val="21"/>
                <w:highlight w:val="none"/>
                <w:lang w:val="en-US" w:eastAsia="zh-CN"/>
              </w:rPr>
              <w:t>服务业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房地产开发经验</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且,≥2000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或,＜2000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物业管理</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租赁和商务</w:t>
            </w:r>
            <w:r>
              <w:rPr>
                <w:rFonts w:hint="eastAsia" w:ascii="宋体" w:hAnsi="宋体" w:eastAsia="宋体" w:cs="宋体"/>
                <w:b/>
                <w:color w:val="auto"/>
                <w:kern w:val="0"/>
                <w:szCs w:val="21"/>
                <w:highlight w:val="none"/>
                <w:lang w:val="en-US" w:eastAsia="zh-CN"/>
              </w:rPr>
              <w:t>服务</w:t>
            </w:r>
            <w:r>
              <w:rPr>
                <w:rFonts w:hint="eastAsia" w:ascii="宋体" w:hAnsi="宋体" w:eastAsia="宋体" w:cs="宋体"/>
                <w:b/>
                <w:color w:val="auto"/>
                <w:kern w:val="0"/>
                <w:szCs w:val="21"/>
                <w:highlight w:val="none"/>
              </w:rPr>
              <w:t>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或,≥120000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且,≥8000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且,≥100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其他未列明行业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bl>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rPr>
          <w:rFonts w:hint="eastAsia" w:ascii="宋体" w:hAnsi="宋体" w:eastAsia="宋体" w:cs="宋体"/>
          <w:color w:val="auto"/>
          <w:highlight w:val="none"/>
          <w:lang w:val="en-US" w:eastAsia="zh-CN"/>
        </w:rPr>
        <w:sectPr>
          <w:pgSz w:w="16838" w:h="11906" w:orient="landscape"/>
          <w:pgMar w:top="1304" w:right="1361" w:bottom="1304" w:left="1247" w:header="680" w:footer="680" w:gutter="0"/>
          <w:cols w:space="0" w:num="1"/>
          <w:rtlGutter w:val="0"/>
          <w:docGrid w:linePitch="312" w:charSpace="0"/>
        </w:sectPr>
      </w:pPr>
    </w:p>
    <w:p>
      <w:pPr>
        <w:snapToGrid w:val="0"/>
        <w:spacing w:line="360" w:lineRule="auto"/>
        <w:textAlignment w:val="bottom"/>
        <w:rPr>
          <w:rFonts w:hint="eastAsia" w:ascii="宋体" w:hAnsi="宋体" w:eastAsia="宋体" w:cs="宋体"/>
          <w:color w:val="auto"/>
          <w:highlight w:val="none"/>
        </w:rPr>
      </w:pPr>
      <w:r>
        <w:rPr>
          <w:rFonts w:hint="eastAsia" w:ascii="宋体" w:hAnsi="宋体" w:eastAsia="宋体" w:cs="宋体"/>
          <w:b/>
          <w:color w:val="auto"/>
          <w:sz w:val="24"/>
          <w:szCs w:val="28"/>
          <w:highlight w:val="none"/>
        </w:rPr>
        <w:t>格式</w:t>
      </w:r>
      <w:r>
        <w:rPr>
          <w:rFonts w:hint="eastAsia" w:ascii="宋体" w:hAnsi="宋体" w:cs="宋体"/>
          <w:b/>
          <w:color w:val="auto"/>
          <w:sz w:val="24"/>
          <w:szCs w:val="28"/>
          <w:highlight w:val="none"/>
          <w:lang w:val="en-US" w:eastAsia="zh-CN"/>
        </w:rPr>
        <w:t>九</w:t>
      </w:r>
      <w:r>
        <w:rPr>
          <w:rFonts w:hint="eastAsia" w:ascii="宋体" w:hAnsi="宋体" w:eastAsia="宋体" w:cs="宋体"/>
          <w:b/>
          <w:color w:val="auto"/>
          <w:sz w:val="24"/>
          <w:szCs w:val="28"/>
          <w:highlight w:val="none"/>
        </w:rPr>
        <w:t>：</w:t>
      </w:r>
      <w:r>
        <w:rPr>
          <w:rFonts w:hint="eastAsia" w:ascii="宋体" w:hAnsi="宋体" w:eastAsia="宋体" w:cs="宋体"/>
          <w:b/>
          <w:color w:val="auto"/>
          <w:sz w:val="24"/>
          <w:szCs w:val="28"/>
          <w:highlight w:val="none"/>
          <w:lang w:eastAsia="zh-CN"/>
        </w:rPr>
        <w:t>招标</w:t>
      </w:r>
      <w:r>
        <w:rPr>
          <w:rFonts w:hint="eastAsia" w:ascii="宋体" w:hAnsi="宋体" w:eastAsia="宋体" w:cs="宋体"/>
          <w:b/>
          <w:color w:val="auto"/>
          <w:sz w:val="24"/>
          <w:szCs w:val="28"/>
          <w:highlight w:val="none"/>
        </w:rPr>
        <w:t>文件中要求的资料或投标</w:t>
      </w:r>
      <w:r>
        <w:rPr>
          <w:rFonts w:hint="eastAsia" w:ascii="宋体" w:hAnsi="宋体" w:eastAsia="宋体" w:cs="宋体"/>
          <w:b/>
          <w:color w:val="auto"/>
          <w:sz w:val="24"/>
          <w:szCs w:val="28"/>
          <w:highlight w:val="none"/>
          <w:lang w:val="en-US" w:eastAsia="zh-CN"/>
        </w:rPr>
        <w:t>人</w:t>
      </w:r>
      <w:r>
        <w:rPr>
          <w:rFonts w:hint="eastAsia" w:ascii="宋体" w:hAnsi="宋体" w:eastAsia="宋体" w:cs="宋体"/>
          <w:b/>
          <w:color w:val="auto"/>
          <w:sz w:val="24"/>
          <w:szCs w:val="28"/>
          <w:highlight w:val="none"/>
        </w:rPr>
        <w:t>认为针对本项目有必要提供的资料，附后。</w:t>
      </w:r>
    </w:p>
    <w:p>
      <w:pPr>
        <w:pStyle w:val="2"/>
        <w:numPr>
          <w:ilvl w:val="0"/>
          <w:numId w:val="0"/>
        </w:numPr>
        <w:rPr>
          <w:rFonts w:hint="eastAsia" w:ascii="宋体" w:hAnsi="宋体" w:eastAsia="宋体" w:cs="宋体"/>
          <w:color w:val="auto"/>
          <w:sz w:val="24"/>
          <w:szCs w:val="24"/>
          <w:highlight w:val="none"/>
          <w:lang w:val="en-US" w:eastAsia="zh-CN"/>
        </w:rPr>
      </w:pPr>
    </w:p>
    <w:p>
      <w:pPr>
        <w:pStyle w:val="2"/>
        <w:numPr>
          <w:ilvl w:val="0"/>
          <w:numId w:val="0"/>
        </w:num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1.具备有效的营业执照，标书内提供复印件加盖公章。</w:t>
      </w:r>
    </w:p>
    <w:p>
      <w:pPr>
        <w:numPr>
          <w:ilvl w:val="0"/>
          <w:numId w:val="0"/>
        </w:numPr>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2.投标人认为针对本项目有必要提供的资料，附后。</w:t>
      </w:r>
    </w:p>
    <w:p>
      <w:pPr>
        <w:rPr>
          <w:rFonts w:hint="eastAsia" w:ascii="宋体" w:hAnsi="宋体" w:eastAsia="宋体" w:cs="宋体"/>
          <w:color w:val="auto"/>
          <w:highlight w:val="none"/>
          <w:lang w:val="en-US" w:eastAsia="zh-CN"/>
        </w:rPr>
      </w:pPr>
    </w:p>
    <w:p>
      <w:pPr>
        <w:rPr>
          <w:rFonts w:hint="eastAsia" w:ascii="宋体" w:hAnsi="宋体" w:eastAsia="宋体" w:cs="宋体"/>
          <w:color w:val="auto"/>
          <w:highlight w:val="none"/>
          <w:lang w:val="en-US" w:eastAsia="zh-CN"/>
        </w:rPr>
      </w:pPr>
    </w:p>
    <w:sectPr>
      <w:pgSz w:w="11906" w:h="16838"/>
      <w:pgMar w:top="1361" w:right="1304" w:bottom="1247" w:left="1304" w:header="680" w:footer="68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28"/>
        <w:rFonts w:hint="default"/>
      </w:rPr>
    </w:pPr>
    <w:r>
      <w:fldChar w:fldCharType="begin"/>
    </w:r>
    <w:r>
      <w:rPr>
        <w:rStyle w:val="28"/>
      </w:rPr>
      <w:instrText xml:space="preserve">PAGE  </w:instrText>
    </w:r>
    <w:r>
      <w:fldChar w:fldCharType="separate"/>
    </w:r>
    <w:r>
      <w:rPr>
        <w:rStyle w:val="28"/>
      </w:rPr>
      <w:t>33</w:t>
    </w:r>
    <w:r>
      <w:fldChar w:fldCharType="end"/>
    </w:r>
  </w:p>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320"/>
        <w:tab w:val="right" w:pos="8640"/>
        <w:tab w:val="clear" w:pos="4153"/>
        <w:tab w:val="clear" w:pos="8306"/>
      </w:tabs>
      <w:rPr>
        <w:rStyle w:val="28"/>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7945" cy="162560"/>
              <wp:effectExtent l="0" t="0" r="0" b="0"/>
              <wp:wrapNone/>
              <wp:docPr id="2" name="文本框 1"/>
              <wp:cNvGraphicFramePr/>
              <a:graphic xmlns:a="http://schemas.openxmlformats.org/drawingml/2006/main">
                <a:graphicData uri="http://schemas.microsoft.com/office/word/2010/wordprocessingShape">
                  <wps:wsp>
                    <wps:cNvSpPr txBox="1"/>
                    <wps:spPr>
                      <a:xfrm>
                        <a:off x="0" y="0"/>
                        <a:ext cx="67945" cy="162560"/>
                      </a:xfrm>
                      <a:prstGeom prst="rect">
                        <a:avLst/>
                      </a:prstGeom>
                      <a:noFill/>
                      <a:ln w="9525">
                        <a:noFill/>
                      </a:ln>
                      <a:effectLst/>
                    </wps:spPr>
                    <wps:txbx>
                      <w:txbxContent>
                        <w:p>
                          <w:pPr>
                            <w:snapToGrid w:val="0"/>
                            <w:rPr>
                              <w:sz w:val="18"/>
                              <w:szCs w:val="18"/>
                            </w:rPr>
                          </w:pPr>
                          <w:r>
                            <w:fldChar w:fldCharType="begin"/>
                          </w:r>
                          <w:r>
                            <w:instrText xml:space="preserve"> PAGE  \* MERGEFORMAT </w:instrText>
                          </w:r>
                          <w:r>
                            <w:fldChar w:fldCharType="separate"/>
                          </w:r>
                          <w:r>
                            <w:t>27</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2.8pt;width:5.35pt;mso-position-horizontal:center;mso-position-horizontal-relative:margin;mso-wrap-style:none;z-index:251661312;mso-width-relative:page;mso-height-relative:page;" filled="f" stroked="f" coordsize="21600,21600" o:gfxdata="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sA4ATRAAAAAwEAAA8AAAAAAAAAAQAg&#10;AAAAIgAAAGRycy9kb3ducmV2LnhtbFBLAQIUABQAAAAIAIdO4kCM5Q/s3AEAAK0DAAAOAAAAAAAA&#10;AAEAIAAAACABAABkcnMvZTJvRG9jLnhtbFBLBQYAAAAABgAGAFkBAABuBQAAAAA=&#10;">
              <v:fill on="f" focussize="0,0"/>
              <v:stroke on="f"/>
              <v:imagedata o:title=""/>
              <o:lock v:ext="edit" aspectratio="f"/>
              <v:textbox inset="0mm,0mm,0mm,0mm" style="mso-fit-shape-to-text:t;">
                <w:txbxContent>
                  <w:p>
                    <w:pPr>
                      <w:snapToGrid w:val="0"/>
                      <w:rPr>
                        <w:sz w:val="18"/>
                        <w:szCs w:val="18"/>
                      </w:rPr>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rFonts w:hint="default"/>
        <w:lang w:val="zh-CN"/>
      </w:rPr>
      <w:t>29</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7556AB"/>
    <w:multiLevelType w:val="singleLevel"/>
    <w:tmpl w:val="D37556AB"/>
    <w:lvl w:ilvl="0" w:tentative="0">
      <w:start w:val="3"/>
      <w:numFmt w:val="decimal"/>
      <w:suff w:val="nothing"/>
      <w:lvlText w:val="%1）"/>
      <w:lvlJc w:val="left"/>
    </w:lvl>
  </w:abstractNum>
  <w:abstractNum w:abstractNumId="1">
    <w:nsid w:val="1A2EBBC9"/>
    <w:multiLevelType w:val="singleLevel"/>
    <w:tmpl w:val="1A2EBBC9"/>
    <w:lvl w:ilvl="0" w:tentative="0">
      <w:start w:val="1"/>
      <w:numFmt w:val="decimal"/>
      <w:suff w:val="space"/>
      <w:lvlText w:val="%1."/>
      <w:lvlJc w:val="left"/>
    </w:lvl>
  </w:abstractNum>
  <w:abstractNum w:abstractNumId="2">
    <w:nsid w:val="34A048A5"/>
    <w:multiLevelType w:val="singleLevel"/>
    <w:tmpl w:val="34A048A5"/>
    <w:lvl w:ilvl="0" w:tentative="0">
      <w:start w:val="2"/>
      <w:numFmt w:val="decimal"/>
      <w:suff w:val="nothing"/>
      <w:lvlText w:val="（%1）"/>
      <w:lvlJc w:val="left"/>
    </w:lvl>
  </w:abstractNum>
  <w:abstractNum w:abstractNumId="3">
    <w:nsid w:val="452AAE97"/>
    <w:multiLevelType w:val="singleLevel"/>
    <w:tmpl w:val="452AAE97"/>
    <w:lvl w:ilvl="0" w:tentative="0">
      <w:start w:val="13"/>
      <w:numFmt w:val="decimal"/>
      <w:suff w:val="nothing"/>
      <w:lvlText w:val="%1、"/>
      <w:lvlJc w:val="left"/>
    </w:lvl>
  </w:abstractNum>
  <w:abstractNum w:abstractNumId="4">
    <w:nsid w:val="582BD15B"/>
    <w:multiLevelType w:val="singleLevel"/>
    <w:tmpl w:val="582BD15B"/>
    <w:lvl w:ilvl="0" w:tentative="0">
      <w:start w:val="1"/>
      <w:numFmt w:val="decimal"/>
      <w:suff w:val="nothing"/>
      <w:lvlText w:val="%1、"/>
      <w:lvlJc w:val="left"/>
    </w:lvl>
  </w:abstractNum>
  <w:abstractNum w:abstractNumId="5">
    <w:nsid w:val="59E97DD3"/>
    <w:multiLevelType w:val="singleLevel"/>
    <w:tmpl w:val="59E97DD3"/>
    <w:lvl w:ilvl="0" w:tentative="0">
      <w:start w:val="5"/>
      <w:numFmt w:val="chineseCounting"/>
      <w:suff w:val="space"/>
      <w:lvlText w:val="第%1章"/>
      <w:lvlJc w:val="left"/>
    </w:lvl>
  </w:abstractNum>
  <w:abstractNum w:abstractNumId="6">
    <w:nsid w:val="62563222"/>
    <w:multiLevelType w:val="singleLevel"/>
    <w:tmpl w:val="62563222"/>
    <w:lvl w:ilvl="0" w:tentative="0">
      <w:start w:val="13"/>
      <w:numFmt w:val="chineseCounting"/>
      <w:suff w:val="nothing"/>
      <w:lvlText w:val="%1、"/>
      <w:lvlJc w:val="left"/>
      <w:rPr>
        <w:rFonts w:hint="eastAsia"/>
      </w:rPr>
    </w:lvl>
  </w:abstractNum>
  <w:num w:numId="1">
    <w:abstractNumId w:val="2"/>
  </w:num>
  <w:num w:numId="2">
    <w:abstractNumId w:val="4"/>
  </w:num>
  <w:num w:numId="3">
    <w:abstractNumId w:val="0"/>
  </w:num>
  <w:num w:numId="4">
    <w:abstractNumId w:val="6"/>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xNDUwOTgyNjdlOTg1MDVmNmRkMzVhMTgzOTcwNWEifQ=="/>
  </w:docVars>
  <w:rsids>
    <w:rsidRoot w:val="00D26E14"/>
    <w:rsid w:val="00010DA5"/>
    <w:rsid w:val="00027ACF"/>
    <w:rsid w:val="00037738"/>
    <w:rsid w:val="00072AA6"/>
    <w:rsid w:val="0015118F"/>
    <w:rsid w:val="001A617D"/>
    <w:rsid w:val="001C048E"/>
    <w:rsid w:val="001D4A9C"/>
    <w:rsid w:val="001D5048"/>
    <w:rsid w:val="00226F97"/>
    <w:rsid w:val="00245C38"/>
    <w:rsid w:val="00251BAE"/>
    <w:rsid w:val="002C61A0"/>
    <w:rsid w:val="002F2DD4"/>
    <w:rsid w:val="0030212D"/>
    <w:rsid w:val="00346CC8"/>
    <w:rsid w:val="003D2D3B"/>
    <w:rsid w:val="00411CA3"/>
    <w:rsid w:val="00433511"/>
    <w:rsid w:val="00441793"/>
    <w:rsid w:val="00444A2C"/>
    <w:rsid w:val="00456548"/>
    <w:rsid w:val="004B1D61"/>
    <w:rsid w:val="004E7DAB"/>
    <w:rsid w:val="00512CFE"/>
    <w:rsid w:val="00554EF5"/>
    <w:rsid w:val="005A1412"/>
    <w:rsid w:val="00691D29"/>
    <w:rsid w:val="0069410B"/>
    <w:rsid w:val="006E7E4A"/>
    <w:rsid w:val="00754AE7"/>
    <w:rsid w:val="00784712"/>
    <w:rsid w:val="007967B1"/>
    <w:rsid w:val="007C1DF1"/>
    <w:rsid w:val="00810110"/>
    <w:rsid w:val="008E7BD6"/>
    <w:rsid w:val="008F549D"/>
    <w:rsid w:val="00910CE1"/>
    <w:rsid w:val="00912995"/>
    <w:rsid w:val="00963D6E"/>
    <w:rsid w:val="00965F57"/>
    <w:rsid w:val="009A13B3"/>
    <w:rsid w:val="009A7605"/>
    <w:rsid w:val="009E37C6"/>
    <w:rsid w:val="00A10993"/>
    <w:rsid w:val="00A73522"/>
    <w:rsid w:val="00A83AD0"/>
    <w:rsid w:val="00AF1B76"/>
    <w:rsid w:val="00B22BA0"/>
    <w:rsid w:val="00B74B69"/>
    <w:rsid w:val="00C00E64"/>
    <w:rsid w:val="00C823C4"/>
    <w:rsid w:val="00C97CCC"/>
    <w:rsid w:val="00CA7EEA"/>
    <w:rsid w:val="00D26E14"/>
    <w:rsid w:val="00D31671"/>
    <w:rsid w:val="00D5688F"/>
    <w:rsid w:val="00D57192"/>
    <w:rsid w:val="00DB30A7"/>
    <w:rsid w:val="00E27EFA"/>
    <w:rsid w:val="00EA0B3B"/>
    <w:rsid w:val="00EB0391"/>
    <w:rsid w:val="00EE01F9"/>
    <w:rsid w:val="00EE7CB0"/>
    <w:rsid w:val="00EF7950"/>
    <w:rsid w:val="00F32B09"/>
    <w:rsid w:val="00F620E2"/>
    <w:rsid w:val="00F63313"/>
    <w:rsid w:val="00F701C5"/>
    <w:rsid w:val="00F9257B"/>
    <w:rsid w:val="00FB01BE"/>
    <w:rsid w:val="00FE0150"/>
    <w:rsid w:val="01001B5E"/>
    <w:rsid w:val="01005789"/>
    <w:rsid w:val="012515C4"/>
    <w:rsid w:val="0136557F"/>
    <w:rsid w:val="01395070"/>
    <w:rsid w:val="013E2686"/>
    <w:rsid w:val="01415CD2"/>
    <w:rsid w:val="01437C9C"/>
    <w:rsid w:val="0145303D"/>
    <w:rsid w:val="014E4B8E"/>
    <w:rsid w:val="014F6641"/>
    <w:rsid w:val="01536131"/>
    <w:rsid w:val="01637748"/>
    <w:rsid w:val="01671BDD"/>
    <w:rsid w:val="01967DCC"/>
    <w:rsid w:val="01A050EF"/>
    <w:rsid w:val="01A772B8"/>
    <w:rsid w:val="01BE271D"/>
    <w:rsid w:val="01C56903"/>
    <w:rsid w:val="01D86637"/>
    <w:rsid w:val="01DA56C9"/>
    <w:rsid w:val="01DD1E9F"/>
    <w:rsid w:val="01E7687A"/>
    <w:rsid w:val="01EE5E5A"/>
    <w:rsid w:val="01F571E8"/>
    <w:rsid w:val="01FB0577"/>
    <w:rsid w:val="01FB2325"/>
    <w:rsid w:val="021358C1"/>
    <w:rsid w:val="021D229B"/>
    <w:rsid w:val="023E0FE9"/>
    <w:rsid w:val="02400F62"/>
    <w:rsid w:val="02556937"/>
    <w:rsid w:val="02573F78"/>
    <w:rsid w:val="02816CCE"/>
    <w:rsid w:val="02820350"/>
    <w:rsid w:val="02834C9F"/>
    <w:rsid w:val="0288005D"/>
    <w:rsid w:val="028C3301"/>
    <w:rsid w:val="02AB1157"/>
    <w:rsid w:val="02AB3D4B"/>
    <w:rsid w:val="02B63EF1"/>
    <w:rsid w:val="02BC1AB4"/>
    <w:rsid w:val="02C10E79"/>
    <w:rsid w:val="02D54E81"/>
    <w:rsid w:val="02D74204"/>
    <w:rsid w:val="02DD5C29"/>
    <w:rsid w:val="02E61A4A"/>
    <w:rsid w:val="02E9716B"/>
    <w:rsid w:val="02ED089D"/>
    <w:rsid w:val="02EE3C38"/>
    <w:rsid w:val="02F0175E"/>
    <w:rsid w:val="02FA25DD"/>
    <w:rsid w:val="03062D2F"/>
    <w:rsid w:val="030D3EAE"/>
    <w:rsid w:val="030F42DA"/>
    <w:rsid w:val="031F3DF1"/>
    <w:rsid w:val="03253AFD"/>
    <w:rsid w:val="034E1DBA"/>
    <w:rsid w:val="034E4F93"/>
    <w:rsid w:val="035603B6"/>
    <w:rsid w:val="036B6D74"/>
    <w:rsid w:val="03801C58"/>
    <w:rsid w:val="03802AE2"/>
    <w:rsid w:val="039B5B6E"/>
    <w:rsid w:val="03AC1B29"/>
    <w:rsid w:val="03AF1619"/>
    <w:rsid w:val="03BA573F"/>
    <w:rsid w:val="03C2134C"/>
    <w:rsid w:val="03C3204C"/>
    <w:rsid w:val="03D35307"/>
    <w:rsid w:val="03E575A6"/>
    <w:rsid w:val="03EE2A99"/>
    <w:rsid w:val="04194CE4"/>
    <w:rsid w:val="041D2A27"/>
    <w:rsid w:val="04243BC4"/>
    <w:rsid w:val="04293B45"/>
    <w:rsid w:val="043833BC"/>
    <w:rsid w:val="043D09D3"/>
    <w:rsid w:val="043F793E"/>
    <w:rsid w:val="04401327"/>
    <w:rsid w:val="04492F15"/>
    <w:rsid w:val="044F0706"/>
    <w:rsid w:val="045D1075"/>
    <w:rsid w:val="046147EA"/>
    <w:rsid w:val="04673CA2"/>
    <w:rsid w:val="04762137"/>
    <w:rsid w:val="04826D2E"/>
    <w:rsid w:val="04856BD6"/>
    <w:rsid w:val="04AC10AC"/>
    <w:rsid w:val="04C52B8F"/>
    <w:rsid w:val="04C805FA"/>
    <w:rsid w:val="04D23811"/>
    <w:rsid w:val="04DB7AC5"/>
    <w:rsid w:val="04DD5D12"/>
    <w:rsid w:val="04EE7F1F"/>
    <w:rsid w:val="04EF43C3"/>
    <w:rsid w:val="04F03C97"/>
    <w:rsid w:val="04F82B4C"/>
    <w:rsid w:val="05075A9C"/>
    <w:rsid w:val="05145BD8"/>
    <w:rsid w:val="052F2A11"/>
    <w:rsid w:val="053D095D"/>
    <w:rsid w:val="053F5E49"/>
    <w:rsid w:val="0544325C"/>
    <w:rsid w:val="0549680B"/>
    <w:rsid w:val="054D2E98"/>
    <w:rsid w:val="054F4E62"/>
    <w:rsid w:val="05600E48"/>
    <w:rsid w:val="056E44A8"/>
    <w:rsid w:val="05746676"/>
    <w:rsid w:val="057C72D3"/>
    <w:rsid w:val="058663AA"/>
    <w:rsid w:val="059D5F9C"/>
    <w:rsid w:val="05A01219"/>
    <w:rsid w:val="05A2768B"/>
    <w:rsid w:val="05B53F70"/>
    <w:rsid w:val="05C3315A"/>
    <w:rsid w:val="05F044FD"/>
    <w:rsid w:val="06043E9E"/>
    <w:rsid w:val="06150C97"/>
    <w:rsid w:val="061A6A13"/>
    <w:rsid w:val="061C5145"/>
    <w:rsid w:val="06231E4A"/>
    <w:rsid w:val="062956B3"/>
    <w:rsid w:val="06302BC9"/>
    <w:rsid w:val="063B1871"/>
    <w:rsid w:val="064A740F"/>
    <w:rsid w:val="064F7FD8"/>
    <w:rsid w:val="06585F98"/>
    <w:rsid w:val="065B7836"/>
    <w:rsid w:val="0662102D"/>
    <w:rsid w:val="066E57BB"/>
    <w:rsid w:val="067304F4"/>
    <w:rsid w:val="067526A6"/>
    <w:rsid w:val="06831FB6"/>
    <w:rsid w:val="06853471"/>
    <w:rsid w:val="069A3B90"/>
    <w:rsid w:val="06A25465"/>
    <w:rsid w:val="06B17456"/>
    <w:rsid w:val="06BB2083"/>
    <w:rsid w:val="06CE0008"/>
    <w:rsid w:val="06D27AF8"/>
    <w:rsid w:val="06D849E3"/>
    <w:rsid w:val="06DA4BFF"/>
    <w:rsid w:val="06DF5D71"/>
    <w:rsid w:val="06E23AB3"/>
    <w:rsid w:val="07027CB2"/>
    <w:rsid w:val="07205F69"/>
    <w:rsid w:val="07302A71"/>
    <w:rsid w:val="0744651C"/>
    <w:rsid w:val="07527666"/>
    <w:rsid w:val="075E0113"/>
    <w:rsid w:val="07692CEA"/>
    <w:rsid w:val="076D5A73"/>
    <w:rsid w:val="078A03D3"/>
    <w:rsid w:val="07B94814"/>
    <w:rsid w:val="07C5140B"/>
    <w:rsid w:val="07E35D35"/>
    <w:rsid w:val="07F910B5"/>
    <w:rsid w:val="08065580"/>
    <w:rsid w:val="08183C31"/>
    <w:rsid w:val="08206641"/>
    <w:rsid w:val="08283748"/>
    <w:rsid w:val="08597DA5"/>
    <w:rsid w:val="086504F8"/>
    <w:rsid w:val="08670714"/>
    <w:rsid w:val="089D2EB8"/>
    <w:rsid w:val="08A96637"/>
    <w:rsid w:val="08D4742C"/>
    <w:rsid w:val="08E6788B"/>
    <w:rsid w:val="08F24234"/>
    <w:rsid w:val="08F5187C"/>
    <w:rsid w:val="08FF094D"/>
    <w:rsid w:val="090860C6"/>
    <w:rsid w:val="090B72F2"/>
    <w:rsid w:val="09167A44"/>
    <w:rsid w:val="09271825"/>
    <w:rsid w:val="092B5F96"/>
    <w:rsid w:val="092C1016"/>
    <w:rsid w:val="092E0A66"/>
    <w:rsid w:val="093079A7"/>
    <w:rsid w:val="093267F5"/>
    <w:rsid w:val="09350D51"/>
    <w:rsid w:val="093D53EF"/>
    <w:rsid w:val="0946032A"/>
    <w:rsid w:val="09473B2C"/>
    <w:rsid w:val="094A5C45"/>
    <w:rsid w:val="095353A6"/>
    <w:rsid w:val="095567BF"/>
    <w:rsid w:val="09563BBA"/>
    <w:rsid w:val="096F5AD2"/>
    <w:rsid w:val="09840E52"/>
    <w:rsid w:val="0988000E"/>
    <w:rsid w:val="099F12A5"/>
    <w:rsid w:val="09A10630"/>
    <w:rsid w:val="09B039F5"/>
    <w:rsid w:val="09BA4874"/>
    <w:rsid w:val="09C33728"/>
    <w:rsid w:val="09D04097"/>
    <w:rsid w:val="09D27E0F"/>
    <w:rsid w:val="09DB4BAE"/>
    <w:rsid w:val="09DE3D12"/>
    <w:rsid w:val="09E518F1"/>
    <w:rsid w:val="09E83BB9"/>
    <w:rsid w:val="0A025187"/>
    <w:rsid w:val="0A046516"/>
    <w:rsid w:val="0A132C02"/>
    <w:rsid w:val="0A14667A"/>
    <w:rsid w:val="0A171CC6"/>
    <w:rsid w:val="0A1C5AFB"/>
    <w:rsid w:val="0A1E3055"/>
    <w:rsid w:val="0A2A7852"/>
    <w:rsid w:val="0A46326B"/>
    <w:rsid w:val="0A4972F7"/>
    <w:rsid w:val="0A4E1BC9"/>
    <w:rsid w:val="0A767E31"/>
    <w:rsid w:val="0A7C6506"/>
    <w:rsid w:val="0A8A2498"/>
    <w:rsid w:val="0A995807"/>
    <w:rsid w:val="0AA01CBB"/>
    <w:rsid w:val="0AA20035"/>
    <w:rsid w:val="0AA25A34"/>
    <w:rsid w:val="0AA3524B"/>
    <w:rsid w:val="0AAC0660"/>
    <w:rsid w:val="0AB86248"/>
    <w:rsid w:val="0ABA0FCF"/>
    <w:rsid w:val="0AC11C1A"/>
    <w:rsid w:val="0AC260D6"/>
    <w:rsid w:val="0ADD6A6C"/>
    <w:rsid w:val="0ADE59D1"/>
    <w:rsid w:val="0ADF4DDA"/>
    <w:rsid w:val="0AE1059D"/>
    <w:rsid w:val="0AE503D6"/>
    <w:rsid w:val="0AEC3153"/>
    <w:rsid w:val="0AEC4F01"/>
    <w:rsid w:val="0AEC7E43"/>
    <w:rsid w:val="0AEE2B7D"/>
    <w:rsid w:val="0B082B9D"/>
    <w:rsid w:val="0B266665"/>
    <w:rsid w:val="0B281C58"/>
    <w:rsid w:val="0B291CB1"/>
    <w:rsid w:val="0B2D2AC3"/>
    <w:rsid w:val="0B61769D"/>
    <w:rsid w:val="0B744DAB"/>
    <w:rsid w:val="0B7F3FC7"/>
    <w:rsid w:val="0B840F21"/>
    <w:rsid w:val="0B8415DD"/>
    <w:rsid w:val="0B867103"/>
    <w:rsid w:val="0B8964F9"/>
    <w:rsid w:val="0B9462D7"/>
    <w:rsid w:val="0BA17C64"/>
    <w:rsid w:val="0BA7412C"/>
    <w:rsid w:val="0BAA7486"/>
    <w:rsid w:val="0BAE0408"/>
    <w:rsid w:val="0BB828D6"/>
    <w:rsid w:val="0BCE5224"/>
    <w:rsid w:val="0BD31C1D"/>
    <w:rsid w:val="0BD66D26"/>
    <w:rsid w:val="0BDE6F3F"/>
    <w:rsid w:val="0BF24799"/>
    <w:rsid w:val="0BF508FF"/>
    <w:rsid w:val="0BFE6C9A"/>
    <w:rsid w:val="0C05627A"/>
    <w:rsid w:val="0C0D15D3"/>
    <w:rsid w:val="0C0F0EA7"/>
    <w:rsid w:val="0C143C92"/>
    <w:rsid w:val="0C175FAD"/>
    <w:rsid w:val="0C2D57D1"/>
    <w:rsid w:val="0C3E178C"/>
    <w:rsid w:val="0C3F131E"/>
    <w:rsid w:val="0C402AA0"/>
    <w:rsid w:val="0C6274FE"/>
    <w:rsid w:val="0C796C68"/>
    <w:rsid w:val="0C7C29C6"/>
    <w:rsid w:val="0C886C9D"/>
    <w:rsid w:val="0C9870EE"/>
    <w:rsid w:val="0CAC42D5"/>
    <w:rsid w:val="0CB437FC"/>
    <w:rsid w:val="0CB84E9E"/>
    <w:rsid w:val="0CC21D86"/>
    <w:rsid w:val="0CC55A09"/>
    <w:rsid w:val="0CC872A8"/>
    <w:rsid w:val="0CCC6D98"/>
    <w:rsid w:val="0CD345CA"/>
    <w:rsid w:val="0CDA41BA"/>
    <w:rsid w:val="0CDC0CE9"/>
    <w:rsid w:val="0D0B106A"/>
    <w:rsid w:val="0D31309F"/>
    <w:rsid w:val="0D3E6003"/>
    <w:rsid w:val="0D4728C2"/>
    <w:rsid w:val="0D562B05"/>
    <w:rsid w:val="0D59015A"/>
    <w:rsid w:val="0D7A17DA"/>
    <w:rsid w:val="0D7F622D"/>
    <w:rsid w:val="0D8C6527"/>
    <w:rsid w:val="0D9A0C44"/>
    <w:rsid w:val="0DA56E4B"/>
    <w:rsid w:val="0DBC6E0C"/>
    <w:rsid w:val="0DD00B0A"/>
    <w:rsid w:val="0DD73C46"/>
    <w:rsid w:val="0DF5231E"/>
    <w:rsid w:val="0DFE11D3"/>
    <w:rsid w:val="0E0D1416"/>
    <w:rsid w:val="0E110D22"/>
    <w:rsid w:val="0E166955"/>
    <w:rsid w:val="0E197DBB"/>
    <w:rsid w:val="0E215F2D"/>
    <w:rsid w:val="0E3746E5"/>
    <w:rsid w:val="0E43308A"/>
    <w:rsid w:val="0E6059EA"/>
    <w:rsid w:val="0E6179B4"/>
    <w:rsid w:val="0E6574A4"/>
    <w:rsid w:val="0E770F85"/>
    <w:rsid w:val="0E8536A2"/>
    <w:rsid w:val="0E927B6D"/>
    <w:rsid w:val="0EA06649"/>
    <w:rsid w:val="0EA06A90"/>
    <w:rsid w:val="0EA9219A"/>
    <w:rsid w:val="0EB421D9"/>
    <w:rsid w:val="0EC62FEB"/>
    <w:rsid w:val="0ECA5559"/>
    <w:rsid w:val="0ED939EE"/>
    <w:rsid w:val="0EE24651"/>
    <w:rsid w:val="0EE91E83"/>
    <w:rsid w:val="0EF22ADE"/>
    <w:rsid w:val="0F01496B"/>
    <w:rsid w:val="0F056766"/>
    <w:rsid w:val="0F0767AD"/>
    <w:rsid w:val="0F264E85"/>
    <w:rsid w:val="0F2F360E"/>
    <w:rsid w:val="0F32186C"/>
    <w:rsid w:val="0F362BEE"/>
    <w:rsid w:val="0F384BB8"/>
    <w:rsid w:val="0F3F5F47"/>
    <w:rsid w:val="0F4A0448"/>
    <w:rsid w:val="0F4F5A5E"/>
    <w:rsid w:val="0F607C6B"/>
    <w:rsid w:val="0F706100"/>
    <w:rsid w:val="0F863EB5"/>
    <w:rsid w:val="0F890F70"/>
    <w:rsid w:val="0F8948D0"/>
    <w:rsid w:val="0F955B67"/>
    <w:rsid w:val="0F966E70"/>
    <w:rsid w:val="0FA07574"/>
    <w:rsid w:val="0FB104C7"/>
    <w:rsid w:val="0FB73D2F"/>
    <w:rsid w:val="0FC41FA8"/>
    <w:rsid w:val="0FD06B9F"/>
    <w:rsid w:val="0FD51098"/>
    <w:rsid w:val="0FD515B0"/>
    <w:rsid w:val="0FDD31A8"/>
    <w:rsid w:val="0FF62F1B"/>
    <w:rsid w:val="0FF7237E"/>
    <w:rsid w:val="0FF757D3"/>
    <w:rsid w:val="0FFA3C1C"/>
    <w:rsid w:val="0FFF5287"/>
    <w:rsid w:val="10030D22"/>
    <w:rsid w:val="10036F74"/>
    <w:rsid w:val="1008052F"/>
    <w:rsid w:val="100B7BD7"/>
    <w:rsid w:val="101B105B"/>
    <w:rsid w:val="10213264"/>
    <w:rsid w:val="1021564D"/>
    <w:rsid w:val="10233173"/>
    <w:rsid w:val="10284C2D"/>
    <w:rsid w:val="1030763E"/>
    <w:rsid w:val="103510F8"/>
    <w:rsid w:val="103E7FAD"/>
    <w:rsid w:val="104F21BA"/>
    <w:rsid w:val="104F42BA"/>
    <w:rsid w:val="107949B7"/>
    <w:rsid w:val="10A65B52"/>
    <w:rsid w:val="10AA3894"/>
    <w:rsid w:val="10AA73F0"/>
    <w:rsid w:val="10AB4F16"/>
    <w:rsid w:val="10BB507D"/>
    <w:rsid w:val="10C61D50"/>
    <w:rsid w:val="10CA1840"/>
    <w:rsid w:val="10CF50A9"/>
    <w:rsid w:val="10EA5A3E"/>
    <w:rsid w:val="10ED2C18"/>
    <w:rsid w:val="10FE2C78"/>
    <w:rsid w:val="1102722C"/>
    <w:rsid w:val="11166833"/>
    <w:rsid w:val="11194576"/>
    <w:rsid w:val="11217A36"/>
    <w:rsid w:val="113E3FDC"/>
    <w:rsid w:val="11422D28"/>
    <w:rsid w:val="114916A6"/>
    <w:rsid w:val="114E421F"/>
    <w:rsid w:val="11537A88"/>
    <w:rsid w:val="116C0B49"/>
    <w:rsid w:val="118C679D"/>
    <w:rsid w:val="11977CE3"/>
    <w:rsid w:val="119E6CF5"/>
    <w:rsid w:val="11A227BD"/>
    <w:rsid w:val="11BB562D"/>
    <w:rsid w:val="11CE552C"/>
    <w:rsid w:val="11DA38D8"/>
    <w:rsid w:val="11E06E41"/>
    <w:rsid w:val="11ED1C8A"/>
    <w:rsid w:val="11FA7F03"/>
    <w:rsid w:val="12015736"/>
    <w:rsid w:val="1202500A"/>
    <w:rsid w:val="12062B4E"/>
    <w:rsid w:val="120668A8"/>
    <w:rsid w:val="12103BCB"/>
    <w:rsid w:val="12123835"/>
    <w:rsid w:val="12160649"/>
    <w:rsid w:val="12217B86"/>
    <w:rsid w:val="122C27BC"/>
    <w:rsid w:val="122F22A3"/>
    <w:rsid w:val="12386C7D"/>
    <w:rsid w:val="1239500D"/>
    <w:rsid w:val="123B6D2C"/>
    <w:rsid w:val="12435D4E"/>
    <w:rsid w:val="124D2289"/>
    <w:rsid w:val="125A4E46"/>
    <w:rsid w:val="12687563"/>
    <w:rsid w:val="12745A53"/>
    <w:rsid w:val="127A5AC4"/>
    <w:rsid w:val="127C4DBC"/>
    <w:rsid w:val="128B4FFF"/>
    <w:rsid w:val="129563FA"/>
    <w:rsid w:val="12A04F4F"/>
    <w:rsid w:val="12AA36D7"/>
    <w:rsid w:val="12B24C82"/>
    <w:rsid w:val="12C31228"/>
    <w:rsid w:val="12C80001"/>
    <w:rsid w:val="12D70244"/>
    <w:rsid w:val="12DB7D35"/>
    <w:rsid w:val="12F15724"/>
    <w:rsid w:val="12F157AA"/>
    <w:rsid w:val="12FB03D7"/>
    <w:rsid w:val="13063815"/>
    <w:rsid w:val="131D046B"/>
    <w:rsid w:val="13427DB4"/>
    <w:rsid w:val="134A5690"/>
    <w:rsid w:val="13545D91"/>
    <w:rsid w:val="135B0E75"/>
    <w:rsid w:val="135F3AE8"/>
    <w:rsid w:val="13645F7C"/>
    <w:rsid w:val="136923D7"/>
    <w:rsid w:val="13767A5D"/>
    <w:rsid w:val="137837D5"/>
    <w:rsid w:val="137D5290"/>
    <w:rsid w:val="13852BA3"/>
    <w:rsid w:val="138A3509"/>
    <w:rsid w:val="13985C26"/>
    <w:rsid w:val="13A02D2C"/>
    <w:rsid w:val="13C659CD"/>
    <w:rsid w:val="13CF471A"/>
    <w:rsid w:val="13E96481"/>
    <w:rsid w:val="13F32136"/>
    <w:rsid w:val="13F96139"/>
    <w:rsid w:val="140137CB"/>
    <w:rsid w:val="14024910"/>
    <w:rsid w:val="14092680"/>
    <w:rsid w:val="14213E6D"/>
    <w:rsid w:val="1432417D"/>
    <w:rsid w:val="14456D19"/>
    <w:rsid w:val="144B7F4A"/>
    <w:rsid w:val="147246C9"/>
    <w:rsid w:val="14792A17"/>
    <w:rsid w:val="147E12BF"/>
    <w:rsid w:val="148B578A"/>
    <w:rsid w:val="148F527B"/>
    <w:rsid w:val="14B4753E"/>
    <w:rsid w:val="14BC5944"/>
    <w:rsid w:val="14C01186"/>
    <w:rsid w:val="14C12F5A"/>
    <w:rsid w:val="14C52A4A"/>
    <w:rsid w:val="14CE4E21"/>
    <w:rsid w:val="14DA401C"/>
    <w:rsid w:val="14DE1D5E"/>
    <w:rsid w:val="14DF6D1B"/>
    <w:rsid w:val="14E1184E"/>
    <w:rsid w:val="14EA0703"/>
    <w:rsid w:val="14F7697C"/>
    <w:rsid w:val="14FC6C19"/>
    <w:rsid w:val="15001CD4"/>
    <w:rsid w:val="15035C84"/>
    <w:rsid w:val="150D0B2A"/>
    <w:rsid w:val="15101240"/>
    <w:rsid w:val="15121A08"/>
    <w:rsid w:val="15171415"/>
    <w:rsid w:val="15211C4B"/>
    <w:rsid w:val="1525173B"/>
    <w:rsid w:val="152754B3"/>
    <w:rsid w:val="15292DC6"/>
    <w:rsid w:val="152B4878"/>
    <w:rsid w:val="15325697"/>
    <w:rsid w:val="15335936"/>
    <w:rsid w:val="15337B56"/>
    <w:rsid w:val="153E27FD"/>
    <w:rsid w:val="1543751C"/>
    <w:rsid w:val="154459C2"/>
    <w:rsid w:val="154D47EE"/>
    <w:rsid w:val="15597D95"/>
    <w:rsid w:val="155E448E"/>
    <w:rsid w:val="15655FDB"/>
    <w:rsid w:val="15673B02"/>
    <w:rsid w:val="15720DA9"/>
    <w:rsid w:val="157341AB"/>
    <w:rsid w:val="157E55BA"/>
    <w:rsid w:val="158E0A14"/>
    <w:rsid w:val="15962639"/>
    <w:rsid w:val="15A50AB1"/>
    <w:rsid w:val="15A8795A"/>
    <w:rsid w:val="15A969F7"/>
    <w:rsid w:val="15AE34DE"/>
    <w:rsid w:val="15B17473"/>
    <w:rsid w:val="15B4486D"/>
    <w:rsid w:val="15B64A89"/>
    <w:rsid w:val="15B66837"/>
    <w:rsid w:val="15DD3DC4"/>
    <w:rsid w:val="15E72E94"/>
    <w:rsid w:val="15F631A4"/>
    <w:rsid w:val="15F92F7E"/>
    <w:rsid w:val="16086AE5"/>
    <w:rsid w:val="161C27C9"/>
    <w:rsid w:val="16215468"/>
    <w:rsid w:val="162B0FD3"/>
    <w:rsid w:val="16337E88"/>
    <w:rsid w:val="16354792"/>
    <w:rsid w:val="163D13A1"/>
    <w:rsid w:val="163D5A89"/>
    <w:rsid w:val="164C052F"/>
    <w:rsid w:val="1658050C"/>
    <w:rsid w:val="1666200B"/>
    <w:rsid w:val="16796823"/>
    <w:rsid w:val="167E55A7"/>
    <w:rsid w:val="167F131F"/>
    <w:rsid w:val="168331ED"/>
    <w:rsid w:val="169528F0"/>
    <w:rsid w:val="169E1486"/>
    <w:rsid w:val="169F796D"/>
    <w:rsid w:val="16A9014A"/>
    <w:rsid w:val="16A91EF8"/>
    <w:rsid w:val="16B461B8"/>
    <w:rsid w:val="16B71B14"/>
    <w:rsid w:val="16BF4740"/>
    <w:rsid w:val="16CC419B"/>
    <w:rsid w:val="16D52CED"/>
    <w:rsid w:val="16EF2001"/>
    <w:rsid w:val="16FF3C35"/>
    <w:rsid w:val="17092996"/>
    <w:rsid w:val="170A6E3A"/>
    <w:rsid w:val="170D72F4"/>
    <w:rsid w:val="170F61FF"/>
    <w:rsid w:val="17123F41"/>
    <w:rsid w:val="171412BA"/>
    <w:rsid w:val="1718237D"/>
    <w:rsid w:val="17216941"/>
    <w:rsid w:val="172A0FAC"/>
    <w:rsid w:val="172B6DB1"/>
    <w:rsid w:val="172C5003"/>
    <w:rsid w:val="172F13BB"/>
    <w:rsid w:val="173B1AD2"/>
    <w:rsid w:val="17413B94"/>
    <w:rsid w:val="17614581"/>
    <w:rsid w:val="176C0A78"/>
    <w:rsid w:val="176D18F5"/>
    <w:rsid w:val="1776002C"/>
    <w:rsid w:val="17797B1C"/>
    <w:rsid w:val="177C760C"/>
    <w:rsid w:val="178475FD"/>
    <w:rsid w:val="17872239"/>
    <w:rsid w:val="179C380B"/>
    <w:rsid w:val="17A013A9"/>
    <w:rsid w:val="17A821AF"/>
    <w:rsid w:val="17BA0860"/>
    <w:rsid w:val="17C22FFE"/>
    <w:rsid w:val="17D12978"/>
    <w:rsid w:val="17DA6E89"/>
    <w:rsid w:val="17DD0A63"/>
    <w:rsid w:val="17E92EF4"/>
    <w:rsid w:val="17EF6030"/>
    <w:rsid w:val="180550B5"/>
    <w:rsid w:val="18155A97"/>
    <w:rsid w:val="183103F7"/>
    <w:rsid w:val="184316FF"/>
    <w:rsid w:val="18576141"/>
    <w:rsid w:val="186407CC"/>
    <w:rsid w:val="186865CE"/>
    <w:rsid w:val="186E0F59"/>
    <w:rsid w:val="186E164B"/>
    <w:rsid w:val="18701553"/>
    <w:rsid w:val="187E086F"/>
    <w:rsid w:val="187F1162"/>
    <w:rsid w:val="18997C09"/>
    <w:rsid w:val="189E3CDE"/>
    <w:rsid w:val="18A137CE"/>
    <w:rsid w:val="18A216B3"/>
    <w:rsid w:val="18A8690B"/>
    <w:rsid w:val="18A94431"/>
    <w:rsid w:val="18B17853"/>
    <w:rsid w:val="18B80B47"/>
    <w:rsid w:val="18BE7548"/>
    <w:rsid w:val="18C3252F"/>
    <w:rsid w:val="18CE20EA"/>
    <w:rsid w:val="18D47700"/>
    <w:rsid w:val="18D5593B"/>
    <w:rsid w:val="18E872E3"/>
    <w:rsid w:val="18EA17C0"/>
    <w:rsid w:val="18F41B50"/>
    <w:rsid w:val="190B70AE"/>
    <w:rsid w:val="19195D6C"/>
    <w:rsid w:val="19232435"/>
    <w:rsid w:val="19235F91"/>
    <w:rsid w:val="19257356"/>
    <w:rsid w:val="19326C65"/>
    <w:rsid w:val="19377C8F"/>
    <w:rsid w:val="193B4660"/>
    <w:rsid w:val="1941466A"/>
    <w:rsid w:val="194B54E8"/>
    <w:rsid w:val="19516FA3"/>
    <w:rsid w:val="195C5DF6"/>
    <w:rsid w:val="19704F4F"/>
    <w:rsid w:val="1988673C"/>
    <w:rsid w:val="19895D23"/>
    <w:rsid w:val="198D78AF"/>
    <w:rsid w:val="19940C3D"/>
    <w:rsid w:val="199D6574"/>
    <w:rsid w:val="19A90B8D"/>
    <w:rsid w:val="19B412DF"/>
    <w:rsid w:val="19B94B48"/>
    <w:rsid w:val="19C167A6"/>
    <w:rsid w:val="19D21766"/>
    <w:rsid w:val="19DB2D10"/>
    <w:rsid w:val="19EB5BB5"/>
    <w:rsid w:val="19F416DC"/>
    <w:rsid w:val="19F52902"/>
    <w:rsid w:val="19FA1701"/>
    <w:rsid w:val="1A1E118C"/>
    <w:rsid w:val="1A246A2C"/>
    <w:rsid w:val="1A2A3350"/>
    <w:rsid w:val="1A38088E"/>
    <w:rsid w:val="1A3A2961"/>
    <w:rsid w:val="1A404921"/>
    <w:rsid w:val="1A4E703E"/>
    <w:rsid w:val="1A515AD2"/>
    <w:rsid w:val="1A5328A6"/>
    <w:rsid w:val="1A563640"/>
    <w:rsid w:val="1A620D3B"/>
    <w:rsid w:val="1A676352"/>
    <w:rsid w:val="1A6C3968"/>
    <w:rsid w:val="1A8B2040"/>
    <w:rsid w:val="1A9412B3"/>
    <w:rsid w:val="1A943AF7"/>
    <w:rsid w:val="1ABD5F72"/>
    <w:rsid w:val="1AD20BE1"/>
    <w:rsid w:val="1AD27C6F"/>
    <w:rsid w:val="1AED4AA9"/>
    <w:rsid w:val="1AF427B5"/>
    <w:rsid w:val="1AF676AF"/>
    <w:rsid w:val="1B0B0842"/>
    <w:rsid w:val="1B102545"/>
    <w:rsid w:val="1B1C538E"/>
    <w:rsid w:val="1B1C713C"/>
    <w:rsid w:val="1B293607"/>
    <w:rsid w:val="1B3A75C2"/>
    <w:rsid w:val="1B4E306E"/>
    <w:rsid w:val="1B542D7A"/>
    <w:rsid w:val="1B570174"/>
    <w:rsid w:val="1B5B4706"/>
    <w:rsid w:val="1B697EA8"/>
    <w:rsid w:val="1B7725C5"/>
    <w:rsid w:val="1B8371BB"/>
    <w:rsid w:val="1B9413C8"/>
    <w:rsid w:val="1B9E2247"/>
    <w:rsid w:val="1BA17641"/>
    <w:rsid w:val="1BB22884"/>
    <w:rsid w:val="1BBA79BA"/>
    <w:rsid w:val="1BBE01F3"/>
    <w:rsid w:val="1BE539D2"/>
    <w:rsid w:val="1BF1169D"/>
    <w:rsid w:val="1BF73705"/>
    <w:rsid w:val="1BFE15F2"/>
    <w:rsid w:val="1BFF5A71"/>
    <w:rsid w:val="1C00080C"/>
    <w:rsid w:val="1C0E15A4"/>
    <w:rsid w:val="1C156098"/>
    <w:rsid w:val="1C1C4F1A"/>
    <w:rsid w:val="1C1F5136"/>
    <w:rsid w:val="1C28769B"/>
    <w:rsid w:val="1C2E5379"/>
    <w:rsid w:val="1C3F493B"/>
    <w:rsid w:val="1C4306F9"/>
    <w:rsid w:val="1C454471"/>
    <w:rsid w:val="1C4E6E53"/>
    <w:rsid w:val="1C5470A3"/>
    <w:rsid w:val="1C5E5533"/>
    <w:rsid w:val="1C69015F"/>
    <w:rsid w:val="1C6E0E4D"/>
    <w:rsid w:val="1C7620D1"/>
    <w:rsid w:val="1C7A05BE"/>
    <w:rsid w:val="1C89319E"/>
    <w:rsid w:val="1C972EF6"/>
    <w:rsid w:val="1C9A2A0F"/>
    <w:rsid w:val="1CB17D58"/>
    <w:rsid w:val="1CB515F6"/>
    <w:rsid w:val="1CB735C0"/>
    <w:rsid w:val="1CBF2475"/>
    <w:rsid w:val="1CD7615D"/>
    <w:rsid w:val="1CD96CD1"/>
    <w:rsid w:val="1CE2478F"/>
    <w:rsid w:val="1CE75528"/>
    <w:rsid w:val="1CEB1A1F"/>
    <w:rsid w:val="1CF245F9"/>
    <w:rsid w:val="1CFD255F"/>
    <w:rsid w:val="1D04432C"/>
    <w:rsid w:val="1D0C44B0"/>
    <w:rsid w:val="1D167BBB"/>
    <w:rsid w:val="1D2624F4"/>
    <w:rsid w:val="1D291FE4"/>
    <w:rsid w:val="1D2D5631"/>
    <w:rsid w:val="1D300BEA"/>
    <w:rsid w:val="1D3F7112"/>
    <w:rsid w:val="1D436C02"/>
    <w:rsid w:val="1D4B5AB7"/>
    <w:rsid w:val="1D5B3CB8"/>
    <w:rsid w:val="1D644DCB"/>
    <w:rsid w:val="1D772D50"/>
    <w:rsid w:val="1D7E300F"/>
    <w:rsid w:val="1D807C8E"/>
    <w:rsid w:val="1D8369F7"/>
    <w:rsid w:val="1D8A0D04"/>
    <w:rsid w:val="1D9413DD"/>
    <w:rsid w:val="1DA710FC"/>
    <w:rsid w:val="1DAC33EE"/>
    <w:rsid w:val="1DB566B2"/>
    <w:rsid w:val="1DC85359"/>
    <w:rsid w:val="1DE636D3"/>
    <w:rsid w:val="1DEA52D0"/>
    <w:rsid w:val="1DED4DC0"/>
    <w:rsid w:val="1E193E07"/>
    <w:rsid w:val="1E2644A4"/>
    <w:rsid w:val="1E3353B1"/>
    <w:rsid w:val="1E430E84"/>
    <w:rsid w:val="1E4A0464"/>
    <w:rsid w:val="1E4B3A52"/>
    <w:rsid w:val="1E4F15D7"/>
    <w:rsid w:val="1E546BED"/>
    <w:rsid w:val="1E5B61CE"/>
    <w:rsid w:val="1E5D1F46"/>
    <w:rsid w:val="1E62130A"/>
    <w:rsid w:val="1E650DFA"/>
    <w:rsid w:val="1E6A4663"/>
    <w:rsid w:val="1E6F1C79"/>
    <w:rsid w:val="1E763007"/>
    <w:rsid w:val="1E7E3C6A"/>
    <w:rsid w:val="1E82375A"/>
    <w:rsid w:val="1E845724"/>
    <w:rsid w:val="1E9F73DD"/>
    <w:rsid w:val="1EA23DFC"/>
    <w:rsid w:val="1EA5271C"/>
    <w:rsid w:val="1EA929A4"/>
    <w:rsid w:val="1EB746DE"/>
    <w:rsid w:val="1EBF050A"/>
    <w:rsid w:val="1EC45B21"/>
    <w:rsid w:val="1ED07999"/>
    <w:rsid w:val="1ED16490"/>
    <w:rsid w:val="1EDD4E34"/>
    <w:rsid w:val="1EDD6BE3"/>
    <w:rsid w:val="1EE2644E"/>
    <w:rsid w:val="1EE937D9"/>
    <w:rsid w:val="1EF1268E"/>
    <w:rsid w:val="1EF30556"/>
    <w:rsid w:val="1EFF124F"/>
    <w:rsid w:val="1F010B23"/>
    <w:rsid w:val="1F1D1971"/>
    <w:rsid w:val="1F2B2044"/>
    <w:rsid w:val="1F394761"/>
    <w:rsid w:val="1F3C0638"/>
    <w:rsid w:val="1F680BA2"/>
    <w:rsid w:val="1F6D7F66"/>
    <w:rsid w:val="1F7A6B27"/>
    <w:rsid w:val="1F7F0EBC"/>
    <w:rsid w:val="1F9279CD"/>
    <w:rsid w:val="1F9C084C"/>
    <w:rsid w:val="1F9E2816"/>
    <w:rsid w:val="1FAD2A59"/>
    <w:rsid w:val="1FB738D7"/>
    <w:rsid w:val="1FBF278C"/>
    <w:rsid w:val="1FC93ACD"/>
    <w:rsid w:val="1FC97167"/>
    <w:rsid w:val="1FCA14B3"/>
    <w:rsid w:val="1FCF6E73"/>
    <w:rsid w:val="1FD2028B"/>
    <w:rsid w:val="1FE66701"/>
    <w:rsid w:val="1FF9206E"/>
    <w:rsid w:val="1FFA168A"/>
    <w:rsid w:val="1FFC753C"/>
    <w:rsid w:val="20084133"/>
    <w:rsid w:val="200C3C23"/>
    <w:rsid w:val="200C59D1"/>
    <w:rsid w:val="200F54C2"/>
    <w:rsid w:val="201746B3"/>
    <w:rsid w:val="20234AC9"/>
    <w:rsid w:val="20250FFC"/>
    <w:rsid w:val="203C5AA9"/>
    <w:rsid w:val="203E4C42"/>
    <w:rsid w:val="203E5DA7"/>
    <w:rsid w:val="2043387C"/>
    <w:rsid w:val="20596FAC"/>
    <w:rsid w:val="205B5927"/>
    <w:rsid w:val="206100D7"/>
    <w:rsid w:val="20692108"/>
    <w:rsid w:val="20692E24"/>
    <w:rsid w:val="206A26F8"/>
    <w:rsid w:val="2088732B"/>
    <w:rsid w:val="208E6609"/>
    <w:rsid w:val="209D487B"/>
    <w:rsid w:val="209F6845"/>
    <w:rsid w:val="20A0611A"/>
    <w:rsid w:val="20A1609D"/>
    <w:rsid w:val="20A64231"/>
    <w:rsid w:val="20AB05FC"/>
    <w:rsid w:val="20AF2801"/>
    <w:rsid w:val="20B80DAD"/>
    <w:rsid w:val="20BA05FD"/>
    <w:rsid w:val="20BE4A62"/>
    <w:rsid w:val="20C462AC"/>
    <w:rsid w:val="20DA6DE5"/>
    <w:rsid w:val="20DB25E1"/>
    <w:rsid w:val="20E56222"/>
    <w:rsid w:val="20ED3A30"/>
    <w:rsid w:val="20EE157B"/>
    <w:rsid w:val="20EE3329"/>
    <w:rsid w:val="20F052F3"/>
    <w:rsid w:val="20F36B91"/>
    <w:rsid w:val="20F546B7"/>
    <w:rsid w:val="20F751F5"/>
    <w:rsid w:val="21090163"/>
    <w:rsid w:val="21091054"/>
    <w:rsid w:val="21150B02"/>
    <w:rsid w:val="213C3352"/>
    <w:rsid w:val="21555156"/>
    <w:rsid w:val="216616F6"/>
    <w:rsid w:val="216801AA"/>
    <w:rsid w:val="218D114E"/>
    <w:rsid w:val="21A12149"/>
    <w:rsid w:val="21A41C3A"/>
    <w:rsid w:val="21A659B2"/>
    <w:rsid w:val="21A812C1"/>
    <w:rsid w:val="21BA145D"/>
    <w:rsid w:val="21C422DC"/>
    <w:rsid w:val="21F4168E"/>
    <w:rsid w:val="21F93D33"/>
    <w:rsid w:val="21FC28D6"/>
    <w:rsid w:val="21FE134A"/>
    <w:rsid w:val="220B1CB9"/>
    <w:rsid w:val="220F3557"/>
    <w:rsid w:val="22123047"/>
    <w:rsid w:val="221E4FCE"/>
    <w:rsid w:val="22244B28"/>
    <w:rsid w:val="22396826"/>
    <w:rsid w:val="22431452"/>
    <w:rsid w:val="224C3750"/>
    <w:rsid w:val="224D26CF"/>
    <w:rsid w:val="224F6049"/>
    <w:rsid w:val="22511DC1"/>
    <w:rsid w:val="22535DAF"/>
    <w:rsid w:val="22721D38"/>
    <w:rsid w:val="2280475D"/>
    <w:rsid w:val="22823C2A"/>
    <w:rsid w:val="22A31EF1"/>
    <w:rsid w:val="22B14EA2"/>
    <w:rsid w:val="22BB723B"/>
    <w:rsid w:val="22C72083"/>
    <w:rsid w:val="22CA1B74"/>
    <w:rsid w:val="22DA76D9"/>
    <w:rsid w:val="22EA7B20"/>
    <w:rsid w:val="22EE5862"/>
    <w:rsid w:val="22F37984"/>
    <w:rsid w:val="22F55CCF"/>
    <w:rsid w:val="22F64717"/>
    <w:rsid w:val="230B38F6"/>
    <w:rsid w:val="230E4C02"/>
    <w:rsid w:val="231E6C33"/>
    <w:rsid w:val="23221227"/>
    <w:rsid w:val="23263FB0"/>
    <w:rsid w:val="232F19D7"/>
    <w:rsid w:val="23305E7B"/>
    <w:rsid w:val="23360FB7"/>
    <w:rsid w:val="23381001"/>
    <w:rsid w:val="233B037C"/>
    <w:rsid w:val="234611FA"/>
    <w:rsid w:val="234E4553"/>
    <w:rsid w:val="23503E27"/>
    <w:rsid w:val="235D6544"/>
    <w:rsid w:val="2369138D"/>
    <w:rsid w:val="23735D67"/>
    <w:rsid w:val="238A529F"/>
    <w:rsid w:val="239006C7"/>
    <w:rsid w:val="239C706C"/>
    <w:rsid w:val="23A61C99"/>
    <w:rsid w:val="23C245F9"/>
    <w:rsid w:val="23C93BD9"/>
    <w:rsid w:val="23CB0BA6"/>
    <w:rsid w:val="23CC590B"/>
    <w:rsid w:val="23CD3501"/>
    <w:rsid w:val="23DC390D"/>
    <w:rsid w:val="23E17175"/>
    <w:rsid w:val="23EE53EE"/>
    <w:rsid w:val="23FB1215"/>
    <w:rsid w:val="24005DAF"/>
    <w:rsid w:val="24013373"/>
    <w:rsid w:val="24063233"/>
    <w:rsid w:val="24134E54"/>
    <w:rsid w:val="241A61E3"/>
    <w:rsid w:val="2426102C"/>
    <w:rsid w:val="24286B52"/>
    <w:rsid w:val="24335861"/>
    <w:rsid w:val="244A4D1A"/>
    <w:rsid w:val="24577437"/>
    <w:rsid w:val="245A29BB"/>
    <w:rsid w:val="245D7D8D"/>
    <w:rsid w:val="246575A1"/>
    <w:rsid w:val="24724271"/>
    <w:rsid w:val="24773635"/>
    <w:rsid w:val="24855D52"/>
    <w:rsid w:val="24863413"/>
    <w:rsid w:val="248A3E63"/>
    <w:rsid w:val="249D12EE"/>
    <w:rsid w:val="249E5066"/>
    <w:rsid w:val="24A85EE5"/>
    <w:rsid w:val="24AC1531"/>
    <w:rsid w:val="24AF4B7D"/>
    <w:rsid w:val="24B6056A"/>
    <w:rsid w:val="24BA4F25"/>
    <w:rsid w:val="24BF0291"/>
    <w:rsid w:val="24C27CCB"/>
    <w:rsid w:val="25132947"/>
    <w:rsid w:val="25140E84"/>
    <w:rsid w:val="252B1120"/>
    <w:rsid w:val="252C2672"/>
    <w:rsid w:val="253908EB"/>
    <w:rsid w:val="25396AFF"/>
    <w:rsid w:val="253F4153"/>
    <w:rsid w:val="254C061E"/>
    <w:rsid w:val="25592D3B"/>
    <w:rsid w:val="2564005E"/>
    <w:rsid w:val="256D1848"/>
    <w:rsid w:val="256E67E6"/>
    <w:rsid w:val="257D63A7"/>
    <w:rsid w:val="25891872"/>
    <w:rsid w:val="258A1146"/>
    <w:rsid w:val="259024C0"/>
    <w:rsid w:val="25902C01"/>
    <w:rsid w:val="25960BD2"/>
    <w:rsid w:val="259B6E80"/>
    <w:rsid w:val="25B032A3"/>
    <w:rsid w:val="25B20DC9"/>
    <w:rsid w:val="25BD151C"/>
    <w:rsid w:val="25C40AFC"/>
    <w:rsid w:val="25C53829"/>
    <w:rsid w:val="25CB4399"/>
    <w:rsid w:val="25DC7BF4"/>
    <w:rsid w:val="26123616"/>
    <w:rsid w:val="261A4BC0"/>
    <w:rsid w:val="2626545C"/>
    <w:rsid w:val="26296BB1"/>
    <w:rsid w:val="26300D34"/>
    <w:rsid w:val="263C0693"/>
    <w:rsid w:val="264F6618"/>
    <w:rsid w:val="265A4FBD"/>
    <w:rsid w:val="265C2AE3"/>
    <w:rsid w:val="26880E9B"/>
    <w:rsid w:val="26995AE5"/>
    <w:rsid w:val="26B20955"/>
    <w:rsid w:val="26BA342F"/>
    <w:rsid w:val="26BC60C2"/>
    <w:rsid w:val="26C1503C"/>
    <w:rsid w:val="26C568DA"/>
    <w:rsid w:val="26C94DFB"/>
    <w:rsid w:val="26D7660D"/>
    <w:rsid w:val="26E14ED6"/>
    <w:rsid w:val="26FF6A0B"/>
    <w:rsid w:val="27005B64"/>
    <w:rsid w:val="270A0791"/>
    <w:rsid w:val="270C275B"/>
    <w:rsid w:val="2725381D"/>
    <w:rsid w:val="272E26D1"/>
    <w:rsid w:val="273A786C"/>
    <w:rsid w:val="273E668C"/>
    <w:rsid w:val="274E52FB"/>
    <w:rsid w:val="275B0FEC"/>
    <w:rsid w:val="27611F1D"/>
    <w:rsid w:val="276161F4"/>
    <w:rsid w:val="276205CD"/>
    <w:rsid w:val="27730567"/>
    <w:rsid w:val="277420AE"/>
    <w:rsid w:val="27767BD4"/>
    <w:rsid w:val="27952750"/>
    <w:rsid w:val="27A6670B"/>
    <w:rsid w:val="27CE360B"/>
    <w:rsid w:val="27D33279"/>
    <w:rsid w:val="27D74B17"/>
    <w:rsid w:val="27EB432A"/>
    <w:rsid w:val="27EB6D23"/>
    <w:rsid w:val="27F8683B"/>
    <w:rsid w:val="27FF7BCA"/>
    <w:rsid w:val="280E605F"/>
    <w:rsid w:val="2815563F"/>
    <w:rsid w:val="281C077C"/>
    <w:rsid w:val="28221B0A"/>
    <w:rsid w:val="282835C4"/>
    <w:rsid w:val="283366AF"/>
    <w:rsid w:val="28382F91"/>
    <w:rsid w:val="283F090E"/>
    <w:rsid w:val="286363AA"/>
    <w:rsid w:val="287A3E90"/>
    <w:rsid w:val="288F719F"/>
    <w:rsid w:val="28956780"/>
    <w:rsid w:val="28C52BC1"/>
    <w:rsid w:val="28CD7CC8"/>
    <w:rsid w:val="28DB41F8"/>
    <w:rsid w:val="28E374EB"/>
    <w:rsid w:val="28E53263"/>
    <w:rsid w:val="28E84B02"/>
    <w:rsid w:val="28EB63A0"/>
    <w:rsid w:val="28ED3EC6"/>
    <w:rsid w:val="29023E15"/>
    <w:rsid w:val="291A7161"/>
    <w:rsid w:val="291B2861"/>
    <w:rsid w:val="291E6775"/>
    <w:rsid w:val="29257B04"/>
    <w:rsid w:val="292875F4"/>
    <w:rsid w:val="292C3C36"/>
    <w:rsid w:val="292F2731"/>
    <w:rsid w:val="293E0BC6"/>
    <w:rsid w:val="29452A44"/>
    <w:rsid w:val="29455AB0"/>
    <w:rsid w:val="294B7A61"/>
    <w:rsid w:val="294E0E09"/>
    <w:rsid w:val="29605810"/>
    <w:rsid w:val="29657F00"/>
    <w:rsid w:val="297F6EC9"/>
    <w:rsid w:val="2980180E"/>
    <w:rsid w:val="29AE7AF9"/>
    <w:rsid w:val="29B5668F"/>
    <w:rsid w:val="29C24711"/>
    <w:rsid w:val="29CE019B"/>
    <w:rsid w:val="29D15596"/>
    <w:rsid w:val="29D532D8"/>
    <w:rsid w:val="29E11C7D"/>
    <w:rsid w:val="29F00D73"/>
    <w:rsid w:val="29F01EC0"/>
    <w:rsid w:val="2A070FB7"/>
    <w:rsid w:val="2A0769A4"/>
    <w:rsid w:val="2A0F00F5"/>
    <w:rsid w:val="2A1A6F3D"/>
    <w:rsid w:val="2A1C0F07"/>
    <w:rsid w:val="2A275DDC"/>
    <w:rsid w:val="2A2E0C3A"/>
    <w:rsid w:val="2A3218A4"/>
    <w:rsid w:val="2A587A65"/>
    <w:rsid w:val="2A612DBE"/>
    <w:rsid w:val="2A622692"/>
    <w:rsid w:val="2A644D01"/>
    <w:rsid w:val="2A6524C6"/>
    <w:rsid w:val="2A7E3970"/>
    <w:rsid w:val="2A81520E"/>
    <w:rsid w:val="2A832D34"/>
    <w:rsid w:val="2A90025D"/>
    <w:rsid w:val="2A93421F"/>
    <w:rsid w:val="2A9A0970"/>
    <w:rsid w:val="2A9C2048"/>
    <w:rsid w:val="2A9E191C"/>
    <w:rsid w:val="2AA1140C"/>
    <w:rsid w:val="2AA1765E"/>
    <w:rsid w:val="2ACD2201"/>
    <w:rsid w:val="2ACE1AD5"/>
    <w:rsid w:val="2AD25A69"/>
    <w:rsid w:val="2AE578A2"/>
    <w:rsid w:val="2AF94DA4"/>
    <w:rsid w:val="2AFF40F2"/>
    <w:rsid w:val="2B02634F"/>
    <w:rsid w:val="2B0C0F7B"/>
    <w:rsid w:val="2B116592"/>
    <w:rsid w:val="2B1A4D1A"/>
    <w:rsid w:val="2B1C0A93"/>
    <w:rsid w:val="2B1C6CE5"/>
    <w:rsid w:val="2B1F5D20"/>
    <w:rsid w:val="2B261D0D"/>
    <w:rsid w:val="2B2838DB"/>
    <w:rsid w:val="2B3E4EAD"/>
    <w:rsid w:val="2B500845"/>
    <w:rsid w:val="2B6C5576"/>
    <w:rsid w:val="2B856638"/>
    <w:rsid w:val="2B8A00F2"/>
    <w:rsid w:val="2B8D373E"/>
    <w:rsid w:val="2B903E10"/>
    <w:rsid w:val="2B9D6077"/>
    <w:rsid w:val="2B9F687E"/>
    <w:rsid w:val="2BA07020"/>
    <w:rsid w:val="2BAE091B"/>
    <w:rsid w:val="2BB1567F"/>
    <w:rsid w:val="2BB94533"/>
    <w:rsid w:val="2BC27474"/>
    <w:rsid w:val="2BC929C8"/>
    <w:rsid w:val="2BCA4992"/>
    <w:rsid w:val="2BE617CC"/>
    <w:rsid w:val="2BEC264E"/>
    <w:rsid w:val="2BF13CCD"/>
    <w:rsid w:val="2C0063BD"/>
    <w:rsid w:val="2C034D0D"/>
    <w:rsid w:val="2C043A01"/>
    <w:rsid w:val="2C144D04"/>
    <w:rsid w:val="2C153E60"/>
    <w:rsid w:val="2C1B6F9C"/>
    <w:rsid w:val="2C2C2EC6"/>
    <w:rsid w:val="2C33078A"/>
    <w:rsid w:val="2C3F2C8B"/>
    <w:rsid w:val="2C684C72"/>
    <w:rsid w:val="2C723060"/>
    <w:rsid w:val="2C7768C8"/>
    <w:rsid w:val="2C820DC9"/>
    <w:rsid w:val="2C9A4365"/>
    <w:rsid w:val="2C9E2B82"/>
    <w:rsid w:val="2CA927FA"/>
    <w:rsid w:val="2CB216AE"/>
    <w:rsid w:val="2CBE62A5"/>
    <w:rsid w:val="2CC969F8"/>
    <w:rsid w:val="2CCF04B2"/>
    <w:rsid w:val="2CDB3E54"/>
    <w:rsid w:val="2CE07276"/>
    <w:rsid w:val="2CE4270A"/>
    <w:rsid w:val="2CE77FD5"/>
    <w:rsid w:val="2D0143E4"/>
    <w:rsid w:val="2D3A16A4"/>
    <w:rsid w:val="2D3B5B48"/>
    <w:rsid w:val="2D3C26DF"/>
    <w:rsid w:val="2D3C541C"/>
    <w:rsid w:val="2D430559"/>
    <w:rsid w:val="2D453348"/>
    <w:rsid w:val="2D4A3C8A"/>
    <w:rsid w:val="2D576931"/>
    <w:rsid w:val="2D585162"/>
    <w:rsid w:val="2D6706EB"/>
    <w:rsid w:val="2D6A1F89"/>
    <w:rsid w:val="2D71156A"/>
    <w:rsid w:val="2D74105A"/>
    <w:rsid w:val="2D746964"/>
    <w:rsid w:val="2D76092E"/>
    <w:rsid w:val="2D796670"/>
    <w:rsid w:val="2D8E793B"/>
    <w:rsid w:val="2D913038"/>
    <w:rsid w:val="2D9663C0"/>
    <w:rsid w:val="2D9D3448"/>
    <w:rsid w:val="2DA21723"/>
    <w:rsid w:val="2DA25F2E"/>
    <w:rsid w:val="2DAE631A"/>
    <w:rsid w:val="2DAE6EC1"/>
    <w:rsid w:val="2DB31B82"/>
    <w:rsid w:val="2DB33930"/>
    <w:rsid w:val="2DC7118A"/>
    <w:rsid w:val="2DD6761F"/>
    <w:rsid w:val="2DDA09D4"/>
    <w:rsid w:val="2DEF248E"/>
    <w:rsid w:val="2DF36C4C"/>
    <w:rsid w:val="2DF857E7"/>
    <w:rsid w:val="2DFA0446"/>
    <w:rsid w:val="2DFE26D1"/>
    <w:rsid w:val="2E0B376C"/>
    <w:rsid w:val="2E165C6D"/>
    <w:rsid w:val="2E19750B"/>
    <w:rsid w:val="2E254102"/>
    <w:rsid w:val="2E3600BD"/>
    <w:rsid w:val="2E3F6F72"/>
    <w:rsid w:val="2E44793A"/>
    <w:rsid w:val="2E525AC4"/>
    <w:rsid w:val="2E541123"/>
    <w:rsid w:val="2E6B420B"/>
    <w:rsid w:val="2E756E38"/>
    <w:rsid w:val="2E7B1F74"/>
    <w:rsid w:val="2E7E2A24"/>
    <w:rsid w:val="2E8A1747"/>
    <w:rsid w:val="2E99158F"/>
    <w:rsid w:val="2E9C6FC9"/>
    <w:rsid w:val="2E9D4F25"/>
    <w:rsid w:val="2EA17C2D"/>
    <w:rsid w:val="2EA364DE"/>
    <w:rsid w:val="2EA6273A"/>
    <w:rsid w:val="2EA80276"/>
    <w:rsid w:val="2EC371AC"/>
    <w:rsid w:val="2EC97183"/>
    <w:rsid w:val="2EDA4EED"/>
    <w:rsid w:val="2EE3501E"/>
    <w:rsid w:val="2EF34E9C"/>
    <w:rsid w:val="2EF53AD4"/>
    <w:rsid w:val="2EFD5623"/>
    <w:rsid w:val="2EFE0BDB"/>
    <w:rsid w:val="2F005368"/>
    <w:rsid w:val="2F011DC7"/>
    <w:rsid w:val="2F04042C"/>
    <w:rsid w:val="2F0504C8"/>
    <w:rsid w:val="2F0725FE"/>
    <w:rsid w:val="2F204FF5"/>
    <w:rsid w:val="2F285C58"/>
    <w:rsid w:val="2F38253E"/>
    <w:rsid w:val="2F484A21"/>
    <w:rsid w:val="2F5876BD"/>
    <w:rsid w:val="2F5C3B54"/>
    <w:rsid w:val="2F82482C"/>
    <w:rsid w:val="2F88520F"/>
    <w:rsid w:val="2F8D36F9"/>
    <w:rsid w:val="2F912EFA"/>
    <w:rsid w:val="2F9652B7"/>
    <w:rsid w:val="2F9E5F1A"/>
    <w:rsid w:val="2FAA48BF"/>
    <w:rsid w:val="2FB42815"/>
    <w:rsid w:val="2FBE480E"/>
    <w:rsid w:val="2FC02334"/>
    <w:rsid w:val="2FC8318B"/>
    <w:rsid w:val="2FCB12F1"/>
    <w:rsid w:val="2FCC0CD9"/>
    <w:rsid w:val="2FD302BA"/>
    <w:rsid w:val="2FD44032"/>
    <w:rsid w:val="2FDB53C0"/>
    <w:rsid w:val="2FDC6A42"/>
    <w:rsid w:val="2FDD58EE"/>
    <w:rsid w:val="2FE06533"/>
    <w:rsid w:val="2FE210F8"/>
    <w:rsid w:val="2FE310E5"/>
    <w:rsid w:val="2FE553B0"/>
    <w:rsid w:val="3006249C"/>
    <w:rsid w:val="30085A89"/>
    <w:rsid w:val="300A35B0"/>
    <w:rsid w:val="300B5755"/>
    <w:rsid w:val="301C38BE"/>
    <w:rsid w:val="30226B4B"/>
    <w:rsid w:val="30314FE0"/>
    <w:rsid w:val="30395C43"/>
    <w:rsid w:val="304331AF"/>
    <w:rsid w:val="304765B2"/>
    <w:rsid w:val="30556F21"/>
    <w:rsid w:val="30580762"/>
    <w:rsid w:val="305A22D9"/>
    <w:rsid w:val="305D7B83"/>
    <w:rsid w:val="305E56A9"/>
    <w:rsid w:val="30670A02"/>
    <w:rsid w:val="307A24E3"/>
    <w:rsid w:val="30890978"/>
    <w:rsid w:val="308A06A4"/>
    <w:rsid w:val="30AA2FA2"/>
    <w:rsid w:val="30B11C7D"/>
    <w:rsid w:val="30C6397A"/>
    <w:rsid w:val="30C714A1"/>
    <w:rsid w:val="30CB4750"/>
    <w:rsid w:val="30D24087"/>
    <w:rsid w:val="30D94E66"/>
    <w:rsid w:val="30DA5678"/>
    <w:rsid w:val="30E262DA"/>
    <w:rsid w:val="30ED7159"/>
    <w:rsid w:val="30F06C49"/>
    <w:rsid w:val="31061FC9"/>
    <w:rsid w:val="31085D41"/>
    <w:rsid w:val="31093867"/>
    <w:rsid w:val="311E1F98"/>
    <w:rsid w:val="311F20B7"/>
    <w:rsid w:val="31280968"/>
    <w:rsid w:val="31293F09"/>
    <w:rsid w:val="312B5ED3"/>
    <w:rsid w:val="313E79B5"/>
    <w:rsid w:val="315C42DF"/>
    <w:rsid w:val="31682C84"/>
    <w:rsid w:val="31723B02"/>
    <w:rsid w:val="31833619"/>
    <w:rsid w:val="31837ABD"/>
    <w:rsid w:val="31876BCF"/>
    <w:rsid w:val="318907E0"/>
    <w:rsid w:val="318A2BFA"/>
    <w:rsid w:val="3199108F"/>
    <w:rsid w:val="31AC2E21"/>
    <w:rsid w:val="31B6372C"/>
    <w:rsid w:val="31BB2DB3"/>
    <w:rsid w:val="31D2634F"/>
    <w:rsid w:val="31D64091"/>
    <w:rsid w:val="31D71BB7"/>
    <w:rsid w:val="31D73965"/>
    <w:rsid w:val="320329AC"/>
    <w:rsid w:val="320B5BB7"/>
    <w:rsid w:val="3220355E"/>
    <w:rsid w:val="32244C05"/>
    <w:rsid w:val="32247EDB"/>
    <w:rsid w:val="322A7F39"/>
    <w:rsid w:val="323112C7"/>
    <w:rsid w:val="3240150B"/>
    <w:rsid w:val="324F5BF1"/>
    <w:rsid w:val="325154C6"/>
    <w:rsid w:val="325F4087"/>
    <w:rsid w:val="326E6078"/>
    <w:rsid w:val="32780CA4"/>
    <w:rsid w:val="327A0EC0"/>
    <w:rsid w:val="3281224F"/>
    <w:rsid w:val="32920E4E"/>
    <w:rsid w:val="32957444"/>
    <w:rsid w:val="32A95302"/>
    <w:rsid w:val="32AF4FF7"/>
    <w:rsid w:val="32B46CCA"/>
    <w:rsid w:val="32B900B2"/>
    <w:rsid w:val="32BD0DAD"/>
    <w:rsid w:val="32C36DD3"/>
    <w:rsid w:val="32C67055"/>
    <w:rsid w:val="32E14A9C"/>
    <w:rsid w:val="32EF2111"/>
    <w:rsid w:val="32FC7B27"/>
    <w:rsid w:val="32FD11AA"/>
    <w:rsid w:val="32FF4F22"/>
    <w:rsid w:val="33153DEE"/>
    <w:rsid w:val="3317670F"/>
    <w:rsid w:val="33184235"/>
    <w:rsid w:val="331D7A9E"/>
    <w:rsid w:val="33291F9F"/>
    <w:rsid w:val="333C6176"/>
    <w:rsid w:val="333D5A4A"/>
    <w:rsid w:val="334212B2"/>
    <w:rsid w:val="33462B51"/>
    <w:rsid w:val="33464A8F"/>
    <w:rsid w:val="33680D19"/>
    <w:rsid w:val="336F654B"/>
    <w:rsid w:val="33721B98"/>
    <w:rsid w:val="337410FC"/>
    <w:rsid w:val="33747E76"/>
    <w:rsid w:val="33784BF7"/>
    <w:rsid w:val="33997124"/>
    <w:rsid w:val="33A24EF8"/>
    <w:rsid w:val="33A8380B"/>
    <w:rsid w:val="33AB32FB"/>
    <w:rsid w:val="33AF52A6"/>
    <w:rsid w:val="33B421B0"/>
    <w:rsid w:val="33C00B55"/>
    <w:rsid w:val="33D22636"/>
    <w:rsid w:val="33D7610B"/>
    <w:rsid w:val="33E52369"/>
    <w:rsid w:val="33EA28C8"/>
    <w:rsid w:val="33EB59F5"/>
    <w:rsid w:val="33F04676"/>
    <w:rsid w:val="340053F5"/>
    <w:rsid w:val="34060532"/>
    <w:rsid w:val="34134165"/>
    <w:rsid w:val="342015F4"/>
    <w:rsid w:val="34276320"/>
    <w:rsid w:val="34280013"/>
    <w:rsid w:val="342F346E"/>
    <w:rsid w:val="3434509F"/>
    <w:rsid w:val="343461A8"/>
    <w:rsid w:val="343E7CCC"/>
    <w:rsid w:val="344A2B14"/>
    <w:rsid w:val="344A48C2"/>
    <w:rsid w:val="346C4839"/>
    <w:rsid w:val="346E6803"/>
    <w:rsid w:val="347100A1"/>
    <w:rsid w:val="34797AF6"/>
    <w:rsid w:val="347B745B"/>
    <w:rsid w:val="34936269"/>
    <w:rsid w:val="349A13A6"/>
    <w:rsid w:val="34A743EB"/>
    <w:rsid w:val="34A75871"/>
    <w:rsid w:val="34AC2E87"/>
    <w:rsid w:val="34B0293D"/>
    <w:rsid w:val="34B955A4"/>
    <w:rsid w:val="34C04B85"/>
    <w:rsid w:val="34C56245"/>
    <w:rsid w:val="34CC5FFC"/>
    <w:rsid w:val="34CE72A2"/>
    <w:rsid w:val="34EE34A0"/>
    <w:rsid w:val="34EE524E"/>
    <w:rsid w:val="34F36D08"/>
    <w:rsid w:val="35076310"/>
    <w:rsid w:val="351B4D2E"/>
    <w:rsid w:val="351D3D85"/>
    <w:rsid w:val="3529097C"/>
    <w:rsid w:val="35333923"/>
    <w:rsid w:val="35357321"/>
    <w:rsid w:val="353A0493"/>
    <w:rsid w:val="353F5AA9"/>
    <w:rsid w:val="354E03E2"/>
    <w:rsid w:val="354E2190"/>
    <w:rsid w:val="3555086E"/>
    <w:rsid w:val="355D06F3"/>
    <w:rsid w:val="355D23D3"/>
    <w:rsid w:val="35611EC4"/>
    <w:rsid w:val="35777939"/>
    <w:rsid w:val="357F059C"/>
    <w:rsid w:val="358918C4"/>
    <w:rsid w:val="358B6F41"/>
    <w:rsid w:val="358D0F0B"/>
    <w:rsid w:val="358E07DF"/>
    <w:rsid w:val="35931E3C"/>
    <w:rsid w:val="3596238F"/>
    <w:rsid w:val="359F29EC"/>
    <w:rsid w:val="35A149B6"/>
    <w:rsid w:val="35BB3842"/>
    <w:rsid w:val="35D24B6F"/>
    <w:rsid w:val="35D703D8"/>
    <w:rsid w:val="35F04FF6"/>
    <w:rsid w:val="36017203"/>
    <w:rsid w:val="36034D29"/>
    <w:rsid w:val="361A1340"/>
    <w:rsid w:val="36237179"/>
    <w:rsid w:val="36257395"/>
    <w:rsid w:val="3632560E"/>
    <w:rsid w:val="36341386"/>
    <w:rsid w:val="363D46DF"/>
    <w:rsid w:val="36413AA3"/>
    <w:rsid w:val="3657341A"/>
    <w:rsid w:val="365B2DB7"/>
    <w:rsid w:val="366A124C"/>
    <w:rsid w:val="367A642B"/>
    <w:rsid w:val="368340BC"/>
    <w:rsid w:val="369D4E03"/>
    <w:rsid w:val="36A858D0"/>
    <w:rsid w:val="36B81FB7"/>
    <w:rsid w:val="36BB532C"/>
    <w:rsid w:val="36BF3346"/>
    <w:rsid w:val="36D130B5"/>
    <w:rsid w:val="36D6068F"/>
    <w:rsid w:val="36E2555D"/>
    <w:rsid w:val="36E96615"/>
    <w:rsid w:val="36EF7BDD"/>
    <w:rsid w:val="36F01751"/>
    <w:rsid w:val="36F10FB4"/>
    <w:rsid w:val="36F823B4"/>
    <w:rsid w:val="36FB099D"/>
    <w:rsid w:val="37040D59"/>
    <w:rsid w:val="372A4E59"/>
    <w:rsid w:val="372B0AEA"/>
    <w:rsid w:val="372C3815"/>
    <w:rsid w:val="37324301"/>
    <w:rsid w:val="373359C5"/>
    <w:rsid w:val="373D496A"/>
    <w:rsid w:val="375A0FAB"/>
    <w:rsid w:val="375C6DE7"/>
    <w:rsid w:val="376A7A76"/>
    <w:rsid w:val="378D193F"/>
    <w:rsid w:val="37B02C8E"/>
    <w:rsid w:val="37C8447C"/>
    <w:rsid w:val="37DC68F3"/>
    <w:rsid w:val="37F107C7"/>
    <w:rsid w:val="37F2200E"/>
    <w:rsid w:val="37F4701F"/>
    <w:rsid w:val="37F52D97"/>
    <w:rsid w:val="37F52FC7"/>
    <w:rsid w:val="37FE84A8"/>
    <w:rsid w:val="37FF6185"/>
    <w:rsid w:val="38033706"/>
    <w:rsid w:val="38051970"/>
    <w:rsid w:val="380B25BB"/>
    <w:rsid w:val="380F39C9"/>
    <w:rsid w:val="381274A5"/>
    <w:rsid w:val="38211DDE"/>
    <w:rsid w:val="38237904"/>
    <w:rsid w:val="384F3754"/>
    <w:rsid w:val="385264CE"/>
    <w:rsid w:val="385555E4"/>
    <w:rsid w:val="38593326"/>
    <w:rsid w:val="388365F5"/>
    <w:rsid w:val="388D7422"/>
    <w:rsid w:val="388E7474"/>
    <w:rsid w:val="389205E6"/>
    <w:rsid w:val="389B249F"/>
    <w:rsid w:val="38A07913"/>
    <w:rsid w:val="38A727DB"/>
    <w:rsid w:val="38AD5420"/>
    <w:rsid w:val="38B35BDE"/>
    <w:rsid w:val="38B76EF7"/>
    <w:rsid w:val="38C5276A"/>
    <w:rsid w:val="38CA4224"/>
    <w:rsid w:val="38CC7F9C"/>
    <w:rsid w:val="38D5034D"/>
    <w:rsid w:val="38DD49CB"/>
    <w:rsid w:val="38DD5D05"/>
    <w:rsid w:val="38E36364"/>
    <w:rsid w:val="38F35529"/>
    <w:rsid w:val="38FC020D"/>
    <w:rsid w:val="3911775D"/>
    <w:rsid w:val="391B4A1A"/>
    <w:rsid w:val="391B4A7F"/>
    <w:rsid w:val="39202096"/>
    <w:rsid w:val="392456E2"/>
    <w:rsid w:val="393A4F06"/>
    <w:rsid w:val="39416530"/>
    <w:rsid w:val="39477943"/>
    <w:rsid w:val="394C69E7"/>
    <w:rsid w:val="394D28ED"/>
    <w:rsid w:val="394F0285"/>
    <w:rsid w:val="395C2133"/>
    <w:rsid w:val="396F26D5"/>
    <w:rsid w:val="39871519"/>
    <w:rsid w:val="39973621"/>
    <w:rsid w:val="39A16D33"/>
    <w:rsid w:val="39A607ED"/>
    <w:rsid w:val="39AD1B7B"/>
    <w:rsid w:val="39B34CB8"/>
    <w:rsid w:val="39B53BB8"/>
    <w:rsid w:val="39B747A8"/>
    <w:rsid w:val="39B8407C"/>
    <w:rsid w:val="39B9281C"/>
    <w:rsid w:val="39BF13AF"/>
    <w:rsid w:val="39D762C9"/>
    <w:rsid w:val="39DC5FBD"/>
    <w:rsid w:val="39DF5FE4"/>
    <w:rsid w:val="39E73E08"/>
    <w:rsid w:val="39E92244"/>
    <w:rsid w:val="39ED1F78"/>
    <w:rsid w:val="3A06303A"/>
    <w:rsid w:val="3A085004"/>
    <w:rsid w:val="3A0D6176"/>
    <w:rsid w:val="3A1A4D37"/>
    <w:rsid w:val="3A281202"/>
    <w:rsid w:val="3A3000B7"/>
    <w:rsid w:val="3A311A24"/>
    <w:rsid w:val="3A365B84"/>
    <w:rsid w:val="3A43428E"/>
    <w:rsid w:val="3A450F7E"/>
    <w:rsid w:val="3A5929A2"/>
    <w:rsid w:val="3A5E2A1B"/>
    <w:rsid w:val="3A694266"/>
    <w:rsid w:val="3A6B10EF"/>
    <w:rsid w:val="3A6C77FE"/>
    <w:rsid w:val="3A6D30B9"/>
    <w:rsid w:val="3A704957"/>
    <w:rsid w:val="3A706705"/>
    <w:rsid w:val="3A777A93"/>
    <w:rsid w:val="3A876D9C"/>
    <w:rsid w:val="3A946897"/>
    <w:rsid w:val="3A982496"/>
    <w:rsid w:val="3A9C74FA"/>
    <w:rsid w:val="3ABA721C"/>
    <w:rsid w:val="3ABB4729"/>
    <w:rsid w:val="3AC03588"/>
    <w:rsid w:val="3ACA4067"/>
    <w:rsid w:val="3AE229EA"/>
    <w:rsid w:val="3AEC0481"/>
    <w:rsid w:val="3AF70BD4"/>
    <w:rsid w:val="3B0658E4"/>
    <w:rsid w:val="3B086CC0"/>
    <w:rsid w:val="3B0C28D2"/>
    <w:rsid w:val="3B253993"/>
    <w:rsid w:val="3B292DA0"/>
    <w:rsid w:val="3B306BD7"/>
    <w:rsid w:val="3B3140E6"/>
    <w:rsid w:val="3B4133D9"/>
    <w:rsid w:val="3B460E52"/>
    <w:rsid w:val="3B4619BE"/>
    <w:rsid w:val="3B583D69"/>
    <w:rsid w:val="3B602C1D"/>
    <w:rsid w:val="3B654937"/>
    <w:rsid w:val="3B7C7FF3"/>
    <w:rsid w:val="3B8237CC"/>
    <w:rsid w:val="3B934DA1"/>
    <w:rsid w:val="3B954675"/>
    <w:rsid w:val="3B9B1808"/>
    <w:rsid w:val="3B9D279F"/>
    <w:rsid w:val="3BA0301A"/>
    <w:rsid w:val="3BA64AD4"/>
    <w:rsid w:val="3BB6772C"/>
    <w:rsid w:val="3BC1190E"/>
    <w:rsid w:val="3BD01B51"/>
    <w:rsid w:val="3BD258C9"/>
    <w:rsid w:val="3BD26B31"/>
    <w:rsid w:val="3BD322AF"/>
    <w:rsid w:val="3BDF29C5"/>
    <w:rsid w:val="3BDF7FE6"/>
    <w:rsid w:val="3BE60A52"/>
    <w:rsid w:val="3BED44B1"/>
    <w:rsid w:val="3BF21AC7"/>
    <w:rsid w:val="3BF375EE"/>
    <w:rsid w:val="3BFD453F"/>
    <w:rsid w:val="3C065573"/>
    <w:rsid w:val="3C0812EB"/>
    <w:rsid w:val="3C0E456C"/>
    <w:rsid w:val="3C1001A0"/>
    <w:rsid w:val="3C1463C3"/>
    <w:rsid w:val="3C1732DC"/>
    <w:rsid w:val="3C1D466B"/>
    <w:rsid w:val="3C2105FF"/>
    <w:rsid w:val="3C2C028D"/>
    <w:rsid w:val="3C2D0D52"/>
    <w:rsid w:val="3C2F2840"/>
    <w:rsid w:val="3C2F4ACA"/>
    <w:rsid w:val="3C345BCF"/>
    <w:rsid w:val="3C3D5A0C"/>
    <w:rsid w:val="3C4B11D8"/>
    <w:rsid w:val="3C4C074C"/>
    <w:rsid w:val="3C4E0CC8"/>
    <w:rsid w:val="3C575DCE"/>
    <w:rsid w:val="3C5F4C83"/>
    <w:rsid w:val="3C601C11"/>
    <w:rsid w:val="3C6A5B02"/>
    <w:rsid w:val="3C771FCD"/>
    <w:rsid w:val="3C81561C"/>
    <w:rsid w:val="3C8C5428"/>
    <w:rsid w:val="3C926E07"/>
    <w:rsid w:val="3C9C7C85"/>
    <w:rsid w:val="3CD1792F"/>
    <w:rsid w:val="3CEB2A8A"/>
    <w:rsid w:val="3CF7310E"/>
    <w:rsid w:val="3D0A2E41"/>
    <w:rsid w:val="3D0C0967"/>
    <w:rsid w:val="3D0F66A9"/>
    <w:rsid w:val="3D1B6DFC"/>
    <w:rsid w:val="3D2739F3"/>
    <w:rsid w:val="3D281519"/>
    <w:rsid w:val="3D363C36"/>
    <w:rsid w:val="3D393726"/>
    <w:rsid w:val="3D3F626A"/>
    <w:rsid w:val="3D453E79"/>
    <w:rsid w:val="3D475E43"/>
    <w:rsid w:val="3D4A37C3"/>
    <w:rsid w:val="3D54332A"/>
    <w:rsid w:val="3D5642D8"/>
    <w:rsid w:val="3D7B3D3F"/>
    <w:rsid w:val="3DB84AA9"/>
    <w:rsid w:val="3DBF3C2B"/>
    <w:rsid w:val="3DC21E2C"/>
    <w:rsid w:val="3DCE0339"/>
    <w:rsid w:val="3DCE3E6E"/>
    <w:rsid w:val="3DD02951"/>
    <w:rsid w:val="3DD82F3F"/>
    <w:rsid w:val="3DF37D79"/>
    <w:rsid w:val="3E004AC7"/>
    <w:rsid w:val="3E130E71"/>
    <w:rsid w:val="3E18158D"/>
    <w:rsid w:val="3E18333B"/>
    <w:rsid w:val="3E2919ED"/>
    <w:rsid w:val="3E3208A1"/>
    <w:rsid w:val="3E35055F"/>
    <w:rsid w:val="3E38578C"/>
    <w:rsid w:val="3E4203B8"/>
    <w:rsid w:val="3E4B54BF"/>
    <w:rsid w:val="3E587026"/>
    <w:rsid w:val="3E594080"/>
    <w:rsid w:val="3E886713"/>
    <w:rsid w:val="3EA6303D"/>
    <w:rsid w:val="3EBA2645"/>
    <w:rsid w:val="3EBB0EFE"/>
    <w:rsid w:val="3EBC460F"/>
    <w:rsid w:val="3EDB2CE7"/>
    <w:rsid w:val="3EE651E8"/>
    <w:rsid w:val="3EF21DDE"/>
    <w:rsid w:val="3EFC5CE2"/>
    <w:rsid w:val="3F042BEA"/>
    <w:rsid w:val="3F0E0BA2"/>
    <w:rsid w:val="3F1104B7"/>
    <w:rsid w:val="3F171845"/>
    <w:rsid w:val="3F381EE7"/>
    <w:rsid w:val="3F4407F1"/>
    <w:rsid w:val="3F5B3E28"/>
    <w:rsid w:val="3F5E1222"/>
    <w:rsid w:val="3F5E53A7"/>
    <w:rsid w:val="3F713C52"/>
    <w:rsid w:val="3F804C2D"/>
    <w:rsid w:val="3F8B34C6"/>
    <w:rsid w:val="3F8C3FE1"/>
    <w:rsid w:val="3F961829"/>
    <w:rsid w:val="3F982986"/>
    <w:rsid w:val="3FA07F4C"/>
    <w:rsid w:val="3FA4757D"/>
    <w:rsid w:val="3FA94B93"/>
    <w:rsid w:val="3FB05F21"/>
    <w:rsid w:val="3FC006C2"/>
    <w:rsid w:val="3FC90D91"/>
    <w:rsid w:val="3FD15E98"/>
    <w:rsid w:val="3FED711E"/>
    <w:rsid w:val="3FF97962"/>
    <w:rsid w:val="40026051"/>
    <w:rsid w:val="4004626D"/>
    <w:rsid w:val="40077B0C"/>
    <w:rsid w:val="400E4B49"/>
    <w:rsid w:val="40133A8C"/>
    <w:rsid w:val="402C1320"/>
    <w:rsid w:val="4044666A"/>
    <w:rsid w:val="404C2CBB"/>
    <w:rsid w:val="40580367"/>
    <w:rsid w:val="40594467"/>
    <w:rsid w:val="406831BB"/>
    <w:rsid w:val="406C796F"/>
    <w:rsid w:val="40723A9D"/>
    <w:rsid w:val="407707ED"/>
    <w:rsid w:val="407E036F"/>
    <w:rsid w:val="407F3B46"/>
    <w:rsid w:val="408353E4"/>
    <w:rsid w:val="40844CB8"/>
    <w:rsid w:val="40A62E81"/>
    <w:rsid w:val="40BC4452"/>
    <w:rsid w:val="40CF23D7"/>
    <w:rsid w:val="40D6427E"/>
    <w:rsid w:val="40D85A5D"/>
    <w:rsid w:val="40D95004"/>
    <w:rsid w:val="40DF6392"/>
    <w:rsid w:val="40FD5F8C"/>
    <w:rsid w:val="410F6C78"/>
    <w:rsid w:val="4110479E"/>
    <w:rsid w:val="41173D7E"/>
    <w:rsid w:val="411B561D"/>
    <w:rsid w:val="41240AEC"/>
    <w:rsid w:val="41281AE7"/>
    <w:rsid w:val="412851F7"/>
    <w:rsid w:val="41287D39"/>
    <w:rsid w:val="41323984"/>
    <w:rsid w:val="41410DFB"/>
    <w:rsid w:val="414D154E"/>
    <w:rsid w:val="41546D80"/>
    <w:rsid w:val="41597EF3"/>
    <w:rsid w:val="415A6F31"/>
    <w:rsid w:val="415F13B8"/>
    <w:rsid w:val="41673072"/>
    <w:rsid w:val="416F7716"/>
    <w:rsid w:val="41766CF7"/>
    <w:rsid w:val="417B60BB"/>
    <w:rsid w:val="417E204F"/>
    <w:rsid w:val="41874A60"/>
    <w:rsid w:val="41A27AEC"/>
    <w:rsid w:val="41A9233B"/>
    <w:rsid w:val="41AC44C7"/>
    <w:rsid w:val="41B12A42"/>
    <w:rsid w:val="41B153E0"/>
    <w:rsid w:val="41B63597"/>
    <w:rsid w:val="41B91637"/>
    <w:rsid w:val="41BE592A"/>
    <w:rsid w:val="41C677F1"/>
    <w:rsid w:val="41D63C39"/>
    <w:rsid w:val="41DC460C"/>
    <w:rsid w:val="41E06866"/>
    <w:rsid w:val="41EC6FB9"/>
    <w:rsid w:val="41F145CF"/>
    <w:rsid w:val="420E33D3"/>
    <w:rsid w:val="42206C63"/>
    <w:rsid w:val="42207F18"/>
    <w:rsid w:val="422E75D1"/>
    <w:rsid w:val="4231433B"/>
    <w:rsid w:val="42321893"/>
    <w:rsid w:val="42537038"/>
    <w:rsid w:val="426254CD"/>
    <w:rsid w:val="426D39C1"/>
    <w:rsid w:val="426D71A6"/>
    <w:rsid w:val="42752F30"/>
    <w:rsid w:val="427E569F"/>
    <w:rsid w:val="428E1E1E"/>
    <w:rsid w:val="42955390"/>
    <w:rsid w:val="429A6A15"/>
    <w:rsid w:val="42B14A56"/>
    <w:rsid w:val="42B72765"/>
    <w:rsid w:val="42D24401"/>
    <w:rsid w:val="42D27F5D"/>
    <w:rsid w:val="42E87780"/>
    <w:rsid w:val="42F02AD9"/>
    <w:rsid w:val="42F205FF"/>
    <w:rsid w:val="42FF1B6E"/>
    <w:rsid w:val="43144A19"/>
    <w:rsid w:val="43171E14"/>
    <w:rsid w:val="43212C92"/>
    <w:rsid w:val="432F53AF"/>
    <w:rsid w:val="43335634"/>
    <w:rsid w:val="43346E69"/>
    <w:rsid w:val="43362BE2"/>
    <w:rsid w:val="43364990"/>
    <w:rsid w:val="433724B6"/>
    <w:rsid w:val="434075BC"/>
    <w:rsid w:val="43413334"/>
    <w:rsid w:val="4346094B"/>
    <w:rsid w:val="43470FC7"/>
    <w:rsid w:val="43624BB8"/>
    <w:rsid w:val="4373683C"/>
    <w:rsid w:val="438025D8"/>
    <w:rsid w:val="438F5E4E"/>
    <w:rsid w:val="43943464"/>
    <w:rsid w:val="43A63197"/>
    <w:rsid w:val="43A833B4"/>
    <w:rsid w:val="43B6785F"/>
    <w:rsid w:val="43BA1EB5"/>
    <w:rsid w:val="43CF26EE"/>
    <w:rsid w:val="43D146B8"/>
    <w:rsid w:val="43D63A7D"/>
    <w:rsid w:val="43D917BF"/>
    <w:rsid w:val="43DB1093"/>
    <w:rsid w:val="441647C1"/>
    <w:rsid w:val="44321DF3"/>
    <w:rsid w:val="443D1D4E"/>
    <w:rsid w:val="445C6678"/>
    <w:rsid w:val="44623109"/>
    <w:rsid w:val="44676BC0"/>
    <w:rsid w:val="446A72EE"/>
    <w:rsid w:val="44716B9D"/>
    <w:rsid w:val="44736C5A"/>
    <w:rsid w:val="4475773A"/>
    <w:rsid w:val="447A6AFE"/>
    <w:rsid w:val="447D214A"/>
    <w:rsid w:val="4484172B"/>
    <w:rsid w:val="448434D9"/>
    <w:rsid w:val="448E23D7"/>
    <w:rsid w:val="44986F15"/>
    <w:rsid w:val="44A678F3"/>
    <w:rsid w:val="44BD4C3D"/>
    <w:rsid w:val="44C47D79"/>
    <w:rsid w:val="44CB1108"/>
    <w:rsid w:val="44D73F50"/>
    <w:rsid w:val="44DD38D8"/>
    <w:rsid w:val="44F160CC"/>
    <w:rsid w:val="44F9202B"/>
    <w:rsid w:val="44FF7003"/>
    <w:rsid w:val="45091972"/>
    <w:rsid w:val="451B6621"/>
    <w:rsid w:val="4526024E"/>
    <w:rsid w:val="4537679D"/>
    <w:rsid w:val="453D3A02"/>
    <w:rsid w:val="455E33FA"/>
    <w:rsid w:val="455E7A88"/>
    <w:rsid w:val="4565482F"/>
    <w:rsid w:val="456E3985"/>
    <w:rsid w:val="457E261E"/>
    <w:rsid w:val="4582210E"/>
    <w:rsid w:val="45834CD2"/>
    <w:rsid w:val="459A10E5"/>
    <w:rsid w:val="459E43BE"/>
    <w:rsid w:val="45AE38C2"/>
    <w:rsid w:val="45BE6EBE"/>
    <w:rsid w:val="45C049E4"/>
    <w:rsid w:val="45CA417D"/>
    <w:rsid w:val="45CA7611"/>
    <w:rsid w:val="45E701C3"/>
    <w:rsid w:val="45E85CE9"/>
    <w:rsid w:val="45F12DF0"/>
    <w:rsid w:val="45F91CA4"/>
    <w:rsid w:val="46087BDD"/>
    <w:rsid w:val="460F771A"/>
    <w:rsid w:val="46192347"/>
    <w:rsid w:val="461940F5"/>
    <w:rsid w:val="46205483"/>
    <w:rsid w:val="462A6302"/>
    <w:rsid w:val="462C207A"/>
    <w:rsid w:val="463D6035"/>
    <w:rsid w:val="464473C4"/>
    <w:rsid w:val="46456C98"/>
    <w:rsid w:val="464D121A"/>
    <w:rsid w:val="464E0242"/>
    <w:rsid w:val="465A0995"/>
    <w:rsid w:val="465B295F"/>
    <w:rsid w:val="466F08B0"/>
    <w:rsid w:val="46772BC5"/>
    <w:rsid w:val="467830B6"/>
    <w:rsid w:val="46902609"/>
    <w:rsid w:val="469320F9"/>
    <w:rsid w:val="469B168B"/>
    <w:rsid w:val="46BF6A4A"/>
    <w:rsid w:val="46C329DE"/>
    <w:rsid w:val="46D30747"/>
    <w:rsid w:val="46E2098A"/>
    <w:rsid w:val="46E75FA1"/>
    <w:rsid w:val="46F10BCE"/>
    <w:rsid w:val="47150D60"/>
    <w:rsid w:val="471A6376"/>
    <w:rsid w:val="472163F4"/>
    <w:rsid w:val="47227157"/>
    <w:rsid w:val="472826CC"/>
    <w:rsid w:val="4735483E"/>
    <w:rsid w:val="474B4782"/>
    <w:rsid w:val="474D5C6E"/>
    <w:rsid w:val="47525B10"/>
    <w:rsid w:val="47615D53"/>
    <w:rsid w:val="476D294A"/>
    <w:rsid w:val="47797541"/>
    <w:rsid w:val="47855CF9"/>
    <w:rsid w:val="478B27FF"/>
    <w:rsid w:val="47906638"/>
    <w:rsid w:val="47953C4F"/>
    <w:rsid w:val="479559FD"/>
    <w:rsid w:val="47A91CE6"/>
    <w:rsid w:val="47BC11DC"/>
    <w:rsid w:val="47BE31A6"/>
    <w:rsid w:val="47DB3428"/>
    <w:rsid w:val="47F60B91"/>
    <w:rsid w:val="47FB61A8"/>
    <w:rsid w:val="48076B3F"/>
    <w:rsid w:val="480F3737"/>
    <w:rsid w:val="48180B08"/>
    <w:rsid w:val="481F2D9F"/>
    <w:rsid w:val="482308AF"/>
    <w:rsid w:val="483E6094"/>
    <w:rsid w:val="48427933"/>
    <w:rsid w:val="48433E44"/>
    <w:rsid w:val="48482A6F"/>
    <w:rsid w:val="48523C1D"/>
    <w:rsid w:val="485625B0"/>
    <w:rsid w:val="485B6C46"/>
    <w:rsid w:val="485D29BF"/>
    <w:rsid w:val="48724A9C"/>
    <w:rsid w:val="48763A80"/>
    <w:rsid w:val="4885107D"/>
    <w:rsid w:val="488F68F0"/>
    <w:rsid w:val="48934C60"/>
    <w:rsid w:val="489F4D85"/>
    <w:rsid w:val="48A203D1"/>
    <w:rsid w:val="48A37CB9"/>
    <w:rsid w:val="48A4239B"/>
    <w:rsid w:val="48A44149"/>
    <w:rsid w:val="48A815AB"/>
    <w:rsid w:val="48AB372A"/>
    <w:rsid w:val="48AE7858"/>
    <w:rsid w:val="48B545A9"/>
    <w:rsid w:val="48B84099"/>
    <w:rsid w:val="48C7608A"/>
    <w:rsid w:val="48DF33D4"/>
    <w:rsid w:val="48DF5182"/>
    <w:rsid w:val="48EB1D78"/>
    <w:rsid w:val="48EC789E"/>
    <w:rsid w:val="49060960"/>
    <w:rsid w:val="49105C83"/>
    <w:rsid w:val="4918435D"/>
    <w:rsid w:val="49311755"/>
    <w:rsid w:val="493C6A78"/>
    <w:rsid w:val="49494CF1"/>
    <w:rsid w:val="494B447F"/>
    <w:rsid w:val="495C2C76"/>
    <w:rsid w:val="496814C9"/>
    <w:rsid w:val="496C13B8"/>
    <w:rsid w:val="496E4757"/>
    <w:rsid w:val="49724248"/>
    <w:rsid w:val="49793828"/>
    <w:rsid w:val="49813B63"/>
    <w:rsid w:val="499C7517"/>
    <w:rsid w:val="49A33231"/>
    <w:rsid w:val="49A50326"/>
    <w:rsid w:val="49B900C8"/>
    <w:rsid w:val="49C45860"/>
    <w:rsid w:val="49C56A6D"/>
    <w:rsid w:val="49CF3448"/>
    <w:rsid w:val="49F03F8B"/>
    <w:rsid w:val="49F57DA6"/>
    <w:rsid w:val="4A0A4480"/>
    <w:rsid w:val="4A0D21C2"/>
    <w:rsid w:val="4A2B06B2"/>
    <w:rsid w:val="4A3D2AA8"/>
    <w:rsid w:val="4A3E237C"/>
    <w:rsid w:val="4A3F38FC"/>
    <w:rsid w:val="4A407EA2"/>
    <w:rsid w:val="4A5B2F2E"/>
    <w:rsid w:val="4A5E47CC"/>
    <w:rsid w:val="4A653DAC"/>
    <w:rsid w:val="4A657908"/>
    <w:rsid w:val="4A6A048B"/>
    <w:rsid w:val="4A7144FF"/>
    <w:rsid w:val="4A743E13"/>
    <w:rsid w:val="4A78588E"/>
    <w:rsid w:val="4A857FAB"/>
    <w:rsid w:val="4A8F0E29"/>
    <w:rsid w:val="4A920887"/>
    <w:rsid w:val="4A962EE6"/>
    <w:rsid w:val="4A995804"/>
    <w:rsid w:val="4A9D460A"/>
    <w:rsid w:val="4AB553BF"/>
    <w:rsid w:val="4AC92D47"/>
    <w:rsid w:val="4AE7656F"/>
    <w:rsid w:val="4AEB42B2"/>
    <w:rsid w:val="4AEE5B50"/>
    <w:rsid w:val="4AEF60A7"/>
    <w:rsid w:val="4AF15640"/>
    <w:rsid w:val="4AF866B5"/>
    <w:rsid w:val="4AFB52A0"/>
    <w:rsid w:val="4B0C4228"/>
    <w:rsid w:val="4B0E7FA0"/>
    <w:rsid w:val="4B1223EE"/>
    <w:rsid w:val="4B1322C1"/>
    <w:rsid w:val="4B257098"/>
    <w:rsid w:val="4B2B572D"/>
    <w:rsid w:val="4B3774F7"/>
    <w:rsid w:val="4B3A2B43"/>
    <w:rsid w:val="4B3F75D4"/>
    <w:rsid w:val="4B4D6D1A"/>
    <w:rsid w:val="4B7C7600"/>
    <w:rsid w:val="4B835B73"/>
    <w:rsid w:val="4B864C81"/>
    <w:rsid w:val="4B8E10E1"/>
    <w:rsid w:val="4B920BD1"/>
    <w:rsid w:val="4B983D0E"/>
    <w:rsid w:val="4BC863A1"/>
    <w:rsid w:val="4BDF193C"/>
    <w:rsid w:val="4BDF36EB"/>
    <w:rsid w:val="4BF03B4A"/>
    <w:rsid w:val="4BF076A6"/>
    <w:rsid w:val="4BF36D6C"/>
    <w:rsid w:val="4C0D2006"/>
    <w:rsid w:val="4C1710D6"/>
    <w:rsid w:val="4C1A4723"/>
    <w:rsid w:val="4C1D2FE8"/>
    <w:rsid w:val="4C20442F"/>
    <w:rsid w:val="4C231829"/>
    <w:rsid w:val="4C312198"/>
    <w:rsid w:val="4C325F10"/>
    <w:rsid w:val="4C371778"/>
    <w:rsid w:val="4C3D6D8F"/>
    <w:rsid w:val="4C4243A5"/>
    <w:rsid w:val="4C455C43"/>
    <w:rsid w:val="4C59524B"/>
    <w:rsid w:val="4C65211D"/>
    <w:rsid w:val="4C79769B"/>
    <w:rsid w:val="4C884529"/>
    <w:rsid w:val="4C92075D"/>
    <w:rsid w:val="4CA30BBC"/>
    <w:rsid w:val="4CD474A8"/>
    <w:rsid w:val="4CD80866"/>
    <w:rsid w:val="4CDF5113"/>
    <w:rsid w:val="4CE0596C"/>
    <w:rsid w:val="4CE3746E"/>
    <w:rsid w:val="4CEE77C7"/>
    <w:rsid w:val="4D027691"/>
    <w:rsid w:val="4D0549EA"/>
    <w:rsid w:val="4D061AD3"/>
    <w:rsid w:val="4D1A0E7E"/>
    <w:rsid w:val="4D4128AF"/>
    <w:rsid w:val="4D422183"/>
    <w:rsid w:val="4D453A21"/>
    <w:rsid w:val="4D4B7289"/>
    <w:rsid w:val="4D521266"/>
    <w:rsid w:val="4D714816"/>
    <w:rsid w:val="4D7A7B6F"/>
    <w:rsid w:val="4D8B1D7C"/>
    <w:rsid w:val="4D8E53C8"/>
    <w:rsid w:val="4D9F4E60"/>
    <w:rsid w:val="4DA62712"/>
    <w:rsid w:val="4DB50BA7"/>
    <w:rsid w:val="4DB82CCF"/>
    <w:rsid w:val="4DC0164E"/>
    <w:rsid w:val="4DC349EC"/>
    <w:rsid w:val="4DC90108"/>
    <w:rsid w:val="4DC9266D"/>
    <w:rsid w:val="4DDC4386"/>
    <w:rsid w:val="4E08517B"/>
    <w:rsid w:val="4E0A0EF3"/>
    <w:rsid w:val="4E0C1B48"/>
    <w:rsid w:val="4E0F02B7"/>
    <w:rsid w:val="4E2E44B5"/>
    <w:rsid w:val="4E3221F7"/>
    <w:rsid w:val="4E364EFC"/>
    <w:rsid w:val="4E3C6BD2"/>
    <w:rsid w:val="4E6525CD"/>
    <w:rsid w:val="4E992277"/>
    <w:rsid w:val="4E9E0130"/>
    <w:rsid w:val="4EA604F0"/>
    <w:rsid w:val="4EAD157E"/>
    <w:rsid w:val="4EC254B1"/>
    <w:rsid w:val="4ED137BE"/>
    <w:rsid w:val="4EDD6607"/>
    <w:rsid w:val="4EDE26B3"/>
    <w:rsid w:val="4EE74D90"/>
    <w:rsid w:val="4EEB0F14"/>
    <w:rsid w:val="4EFB083B"/>
    <w:rsid w:val="4F053468"/>
    <w:rsid w:val="4F084D4E"/>
    <w:rsid w:val="4F135B85"/>
    <w:rsid w:val="4F1638C7"/>
    <w:rsid w:val="4F195165"/>
    <w:rsid w:val="4F227A85"/>
    <w:rsid w:val="4F29184C"/>
    <w:rsid w:val="4F376DC8"/>
    <w:rsid w:val="4F3E697A"/>
    <w:rsid w:val="4F4628B7"/>
    <w:rsid w:val="4F56149D"/>
    <w:rsid w:val="4F5D14F6"/>
    <w:rsid w:val="4F643948"/>
    <w:rsid w:val="4F6A568A"/>
    <w:rsid w:val="4F786330"/>
    <w:rsid w:val="4F932C84"/>
    <w:rsid w:val="4F974D24"/>
    <w:rsid w:val="4FB16FDA"/>
    <w:rsid w:val="4FB21842"/>
    <w:rsid w:val="4FB85473"/>
    <w:rsid w:val="4FBD3D43"/>
    <w:rsid w:val="4FC151B1"/>
    <w:rsid w:val="4FCC0B4D"/>
    <w:rsid w:val="4FCC21D8"/>
    <w:rsid w:val="4FD95020"/>
    <w:rsid w:val="4FDA440C"/>
    <w:rsid w:val="4FDD0059"/>
    <w:rsid w:val="4FEB4D54"/>
    <w:rsid w:val="4FEC63D6"/>
    <w:rsid w:val="4FF43C08"/>
    <w:rsid w:val="50041972"/>
    <w:rsid w:val="501B60F5"/>
    <w:rsid w:val="501C4F0D"/>
    <w:rsid w:val="502E69EF"/>
    <w:rsid w:val="503E2640"/>
    <w:rsid w:val="50446212"/>
    <w:rsid w:val="50485D02"/>
    <w:rsid w:val="50492262"/>
    <w:rsid w:val="504D156B"/>
    <w:rsid w:val="50575F45"/>
    <w:rsid w:val="505B1A07"/>
    <w:rsid w:val="50680152"/>
    <w:rsid w:val="50681F00"/>
    <w:rsid w:val="5075461D"/>
    <w:rsid w:val="5080549C"/>
    <w:rsid w:val="509176A9"/>
    <w:rsid w:val="509755BF"/>
    <w:rsid w:val="509E0DC2"/>
    <w:rsid w:val="50A3118B"/>
    <w:rsid w:val="50A32137"/>
    <w:rsid w:val="50BB4726"/>
    <w:rsid w:val="50C7131D"/>
    <w:rsid w:val="50EC2B32"/>
    <w:rsid w:val="50F47C38"/>
    <w:rsid w:val="50F54C60"/>
    <w:rsid w:val="50F934A0"/>
    <w:rsid w:val="51071719"/>
    <w:rsid w:val="5107796B"/>
    <w:rsid w:val="511300BE"/>
    <w:rsid w:val="51142088"/>
    <w:rsid w:val="511D2B2E"/>
    <w:rsid w:val="512307B2"/>
    <w:rsid w:val="51283B24"/>
    <w:rsid w:val="51442F76"/>
    <w:rsid w:val="51490DAA"/>
    <w:rsid w:val="514E10F6"/>
    <w:rsid w:val="5160175F"/>
    <w:rsid w:val="516C54FE"/>
    <w:rsid w:val="51826DFB"/>
    <w:rsid w:val="51874608"/>
    <w:rsid w:val="518F170F"/>
    <w:rsid w:val="51910235"/>
    <w:rsid w:val="51924AA8"/>
    <w:rsid w:val="51A73BE7"/>
    <w:rsid w:val="51A927D1"/>
    <w:rsid w:val="51BC407E"/>
    <w:rsid w:val="51C03715"/>
    <w:rsid w:val="51CE13BE"/>
    <w:rsid w:val="51E1640E"/>
    <w:rsid w:val="51E27A91"/>
    <w:rsid w:val="51EB2DE9"/>
    <w:rsid w:val="51F36142"/>
    <w:rsid w:val="51FA74D0"/>
    <w:rsid w:val="51FC4FF6"/>
    <w:rsid w:val="51FC6DA4"/>
    <w:rsid w:val="5224711A"/>
    <w:rsid w:val="52271947"/>
    <w:rsid w:val="52302EF2"/>
    <w:rsid w:val="523A78CD"/>
    <w:rsid w:val="523F5BFE"/>
    <w:rsid w:val="5242791D"/>
    <w:rsid w:val="524A3FB4"/>
    <w:rsid w:val="5253098E"/>
    <w:rsid w:val="525B684B"/>
    <w:rsid w:val="52692974"/>
    <w:rsid w:val="526F3904"/>
    <w:rsid w:val="526F57C8"/>
    <w:rsid w:val="528079D5"/>
    <w:rsid w:val="52952D55"/>
    <w:rsid w:val="52990A97"/>
    <w:rsid w:val="529B3BB9"/>
    <w:rsid w:val="529E1C09"/>
    <w:rsid w:val="52B92D64"/>
    <w:rsid w:val="52C04518"/>
    <w:rsid w:val="52C8312A"/>
    <w:rsid w:val="52D47D21"/>
    <w:rsid w:val="52D61424"/>
    <w:rsid w:val="52D73AAB"/>
    <w:rsid w:val="52DE4C07"/>
    <w:rsid w:val="52DE7C00"/>
    <w:rsid w:val="52E141EC"/>
    <w:rsid w:val="52E53CDC"/>
    <w:rsid w:val="52E55A8A"/>
    <w:rsid w:val="52E9702A"/>
    <w:rsid w:val="52EF4B5B"/>
    <w:rsid w:val="52F40E3F"/>
    <w:rsid w:val="53006AB2"/>
    <w:rsid w:val="5302663C"/>
    <w:rsid w:val="53055C47"/>
    <w:rsid w:val="53204D14"/>
    <w:rsid w:val="53206AC2"/>
    <w:rsid w:val="53220A8C"/>
    <w:rsid w:val="53316F22"/>
    <w:rsid w:val="53342A5A"/>
    <w:rsid w:val="533B1971"/>
    <w:rsid w:val="53456529"/>
    <w:rsid w:val="535449BE"/>
    <w:rsid w:val="53672943"/>
    <w:rsid w:val="5371731E"/>
    <w:rsid w:val="537312E8"/>
    <w:rsid w:val="537806AC"/>
    <w:rsid w:val="538F59F6"/>
    <w:rsid w:val="53962265"/>
    <w:rsid w:val="53A4547B"/>
    <w:rsid w:val="53C161BA"/>
    <w:rsid w:val="53C22197"/>
    <w:rsid w:val="53D02A8A"/>
    <w:rsid w:val="53D249E7"/>
    <w:rsid w:val="53DF697E"/>
    <w:rsid w:val="53E47AF0"/>
    <w:rsid w:val="53E93358"/>
    <w:rsid w:val="53EC4BF7"/>
    <w:rsid w:val="53F046E7"/>
    <w:rsid w:val="53F341D7"/>
    <w:rsid w:val="53F71F19"/>
    <w:rsid w:val="53FC6F29"/>
    <w:rsid w:val="53FD1EB2"/>
    <w:rsid w:val="541A1764"/>
    <w:rsid w:val="541A68BD"/>
    <w:rsid w:val="542547CB"/>
    <w:rsid w:val="54272508"/>
    <w:rsid w:val="543842E0"/>
    <w:rsid w:val="54564027"/>
    <w:rsid w:val="545840B3"/>
    <w:rsid w:val="54627485"/>
    <w:rsid w:val="54734966"/>
    <w:rsid w:val="54810B40"/>
    <w:rsid w:val="54B41BB8"/>
    <w:rsid w:val="54B756AE"/>
    <w:rsid w:val="54C44F4A"/>
    <w:rsid w:val="54C65448"/>
    <w:rsid w:val="54CB0CB0"/>
    <w:rsid w:val="54D264E2"/>
    <w:rsid w:val="54D50855"/>
    <w:rsid w:val="54DF51CB"/>
    <w:rsid w:val="54E106CE"/>
    <w:rsid w:val="54E87AB4"/>
    <w:rsid w:val="54FB5435"/>
    <w:rsid w:val="55033852"/>
    <w:rsid w:val="550659D2"/>
    <w:rsid w:val="550F5041"/>
    <w:rsid w:val="55142657"/>
    <w:rsid w:val="55172147"/>
    <w:rsid w:val="552D3719"/>
    <w:rsid w:val="55302E64"/>
    <w:rsid w:val="55435EE8"/>
    <w:rsid w:val="555060C5"/>
    <w:rsid w:val="55546EF7"/>
    <w:rsid w:val="555D5DAC"/>
    <w:rsid w:val="555E1B24"/>
    <w:rsid w:val="55654C60"/>
    <w:rsid w:val="55855303"/>
    <w:rsid w:val="558C6691"/>
    <w:rsid w:val="55A058CC"/>
    <w:rsid w:val="55C220B3"/>
    <w:rsid w:val="55DF2C65"/>
    <w:rsid w:val="55F66200"/>
    <w:rsid w:val="55FD1FAA"/>
    <w:rsid w:val="5601141F"/>
    <w:rsid w:val="560953BE"/>
    <w:rsid w:val="560C1580"/>
    <w:rsid w:val="561C5B9D"/>
    <w:rsid w:val="561F5757"/>
    <w:rsid w:val="56262642"/>
    <w:rsid w:val="5626429A"/>
    <w:rsid w:val="5628758F"/>
    <w:rsid w:val="562C577E"/>
    <w:rsid w:val="562D2B84"/>
    <w:rsid w:val="56310FE7"/>
    <w:rsid w:val="56362F8E"/>
    <w:rsid w:val="56386FED"/>
    <w:rsid w:val="565C6063"/>
    <w:rsid w:val="56670885"/>
    <w:rsid w:val="56701B0F"/>
    <w:rsid w:val="567346E0"/>
    <w:rsid w:val="56757A00"/>
    <w:rsid w:val="56927CD7"/>
    <w:rsid w:val="56985339"/>
    <w:rsid w:val="569C2904"/>
    <w:rsid w:val="56A143BE"/>
    <w:rsid w:val="56A25A40"/>
    <w:rsid w:val="56A734E4"/>
    <w:rsid w:val="56B440F1"/>
    <w:rsid w:val="56D227CA"/>
    <w:rsid w:val="56D71B8E"/>
    <w:rsid w:val="56DA342C"/>
    <w:rsid w:val="56E85B49"/>
    <w:rsid w:val="56ED12D7"/>
    <w:rsid w:val="56FF2E93"/>
    <w:rsid w:val="570C5386"/>
    <w:rsid w:val="571E156B"/>
    <w:rsid w:val="572528F9"/>
    <w:rsid w:val="572F5526"/>
    <w:rsid w:val="57307288"/>
    <w:rsid w:val="57392849"/>
    <w:rsid w:val="574216FD"/>
    <w:rsid w:val="5774562F"/>
    <w:rsid w:val="577D0987"/>
    <w:rsid w:val="57885924"/>
    <w:rsid w:val="579655A5"/>
    <w:rsid w:val="57A06424"/>
    <w:rsid w:val="57A777B2"/>
    <w:rsid w:val="57BE68AA"/>
    <w:rsid w:val="57C57C38"/>
    <w:rsid w:val="57CC546B"/>
    <w:rsid w:val="57D3745F"/>
    <w:rsid w:val="57D60097"/>
    <w:rsid w:val="57DC4038"/>
    <w:rsid w:val="57F20D38"/>
    <w:rsid w:val="57F624E8"/>
    <w:rsid w:val="57F81DBC"/>
    <w:rsid w:val="58235F87"/>
    <w:rsid w:val="58256929"/>
    <w:rsid w:val="58270C7C"/>
    <w:rsid w:val="582F1556"/>
    <w:rsid w:val="58311772"/>
    <w:rsid w:val="5838665C"/>
    <w:rsid w:val="58463D0F"/>
    <w:rsid w:val="58507E4A"/>
    <w:rsid w:val="58586CFE"/>
    <w:rsid w:val="586F1BE5"/>
    <w:rsid w:val="5875165E"/>
    <w:rsid w:val="587D7E5A"/>
    <w:rsid w:val="587F6039"/>
    <w:rsid w:val="588D4BFA"/>
    <w:rsid w:val="588E0972"/>
    <w:rsid w:val="58903076"/>
    <w:rsid w:val="58920462"/>
    <w:rsid w:val="58A577D6"/>
    <w:rsid w:val="58B33F35"/>
    <w:rsid w:val="58BE3005"/>
    <w:rsid w:val="58C3061C"/>
    <w:rsid w:val="58C44394"/>
    <w:rsid w:val="58C6010C"/>
    <w:rsid w:val="58C85C32"/>
    <w:rsid w:val="58C86155"/>
    <w:rsid w:val="58CD149A"/>
    <w:rsid w:val="58DB54BE"/>
    <w:rsid w:val="58EA1E4D"/>
    <w:rsid w:val="58FE78A6"/>
    <w:rsid w:val="59017F65"/>
    <w:rsid w:val="591173F8"/>
    <w:rsid w:val="591730EE"/>
    <w:rsid w:val="591F781C"/>
    <w:rsid w:val="59266DFD"/>
    <w:rsid w:val="593037D7"/>
    <w:rsid w:val="593C217C"/>
    <w:rsid w:val="593E7CA2"/>
    <w:rsid w:val="59571349"/>
    <w:rsid w:val="59596CAE"/>
    <w:rsid w:val="595B4CF8"/>
    <w:rsid w:val="595C45CC"/>
    <w:rsid w:val="596A6CE9"/>
    <w:rsid w:val="596B480F"/>
    <w:rsid w:val="597E3727"/>
    <w:rsid w:val="59804AD3"/>
    <w:rsid w:val="59835FFD"/>
    <w:rsid w:val="598429A4"/>
    <w:rsid w:val="5986716D"/>
    <w:rsid w:val="598E7E44"/>
    <w:rsid w:val="59926240"/>
    <w:rsid w:val="599B50F5"/>
    <w:rsid w:val="59B2243E"/>
    <w:rsid w:val="59B461B6"/>
    <w:rsid w:val="59B7793C"/>
    <w:rsid w:val="59C20450"/>
    <w:rsid w:val="59C43098"/>
    <w:rsid w:val="59C503C4"/>
    <w:rsid w:val="59C83FC9"/>
    <w:rsid w:val="59CC1AA0"/>
    <w:rsid w:val="59CC52AE"/>
    <w:rsid w:val="59CE6D94"/>
    <w:rsid w:val="59D10B16"/>
    <w:rsid w:val="59D6612D"/>
    <w:rsid w:val="59D800F7"/>
    <w:rsid w:val="59DF5554"/>
    <w:rsid w:val="59E56191"/>
    <w:rsid w:val="59EA45D0"/>
    <w:rsid w:val="59F760A3"/>
    <w:rsid w:val="59FD7B5D"/>
    <w:rsid w:val="5A100767"/>
    <w:rsid w:val="5A112174"/>
    <w:rsid w:val="5A1629CD"/>
    <w:rsid w:val="5A1A1B94"/>
    <w:rsid w:val="5A1A268C"/>
    <w:rsid w:val="5A1A5FD2"/>
    <w:rsid w:val="5A2C21F1"/>
    <w:rsid w:val="5A3023B2"/>
    <w:rsid w:val="5A364E1D"/>
    <w:rsid w:val="5A3F0176"/>
    <w:rsid w:val="5A4C63EF"/>
    <w:rsid w:val="5A4E660B"/>
    <w:rsid w:val="5A572253"/>
    <w:rsid w:val="5A5A6D5E"/>
    <w:rsid w:val="5A5C0D28"/>
    <w:rsid w:val="5A603305"/>
    <w:rsid w:val="5A736072"/>
    <w:rsid w:val="5A7476F4"/>
    <w:rsid w:val="5A7A2F5C"/>
    <w:rsid w:val="5A827630"/>
    <w:rsid w:val="5A8C4AE8"/>
    <w:rsid w:val="5AB5456B"/>
    <w:rsid w:val="5ABD72ED"/>
    <w:rsid w:val="5AC42429"/>
    <w:rsid w:val="5AC643F3"/>
    <w:rsid w:val="5AD430E1"/>
    <w:rsid w:val="5ADB0886"/>
    <w:rsid w:val="5AE339C5"/>
    <w:rsid w:val="5AE86795"/>
    <w:rsid w:val="5AEC2ECA"/>
    <w:rsid w:val="5AF251E8"/>
    <w:rsid w:val="5AF70A51"/>
    <w:rsid w:val="5AFA6001"/>
    <w:rsid w:val="5B033ABB"/>
    <w:rsid w:val="5B062A42"/>
    <w:rsid w:val="5B157129"/>
    <w:rsid w:val="5B206A70"/>
    <w:rsid w:val="5B280C0A"/>
    <w:rsid w:val="5B2A0E9B"/>
    <w:rsid w:val="5B316CA1"/>
    <w:rsid w:val="5B341533"/>
    <w:rsid w:val="5B37709F"/>
    <w:rsid w:val="5B3F5F54"/>
    <w:rsid w:val="5B4F6A8E"/>
    <w:rsid w:val="5B640619"/>
    <w:rsid w:val="5B656F38"/>
    <w:rsid w:val="5BA0502A"/>
    <w:rsid w:val="5BA26C0E"/>
    <w:rsid w:val="5BA65FD3"/>
    <w:rsid w:val="5BAE36B3"/>
    <w:rsid w:val="5BBB1A7E"/>
    <w:rsid w:val="5BBE331C"/>
    <w:rsid w:val="5BC16A98"/>
    <w:rsid w:val="5BCA1CC1"/>
    <w:rsid w:val="5BCE2C90"/>
    <w:rsid w:val="5BD2087B"/>
    <w:rsid w:val="5BD319A0"/>
    <w:rsid w:val="5BE80399"/>
    <w:rsid w:val="5C2018E1"/>
    <w:rsid w:val="5C243657"/>
    <w:rsid w:val="5C251645"/>
    <w:rsid w:val="5C401F83"/>
    <w:rsid w:val="5C441A74"/>
    <w:rsid w:val="5C4C6B7A"/>
    <w:rsid w:val="5C545A2F"/>
    <w:rsid w:val="5C567DFB"/>
    <w:rsid w:val="5C62014C"/>
    <w:rsid w:val="5C6A5252"/>
    <w:rsid w:val="5C8B76A2"/>
    <w:rsid w:val="5C8E0F41"/>
    <w:rsid w:val="5C950C3E"/>
    <w:rsid w:val="5C9F0B9B"/>
    <w:rsid w:val="5C9F4EFC"/>
    <w:rsid w:val="5CB169DD"/>
    <w:rsid w:val="5CBD35D4"/>
    <w:rsid w:val="5CCE757F"/>
    <w:rsid w:val="5CDF179C"/>
    <w:rsid w:val="5CE7065A"/>
    <w:rsid w:val="5CE727F2"/>
    <w:rsid w:val="5CF27547"/>
    <w:rsid w:val="5CF36FF6"/>
    <w:rsid w:val="5D02548B"/>
    <w:rsid w:val="5D080CF3"/>
    <w:rsid w:val="5D1078AE"/>
    <w:rsid w:val="5D177188"/>
    <w:rsid w:val="5D26561D"/>
    <w:rsid w:val="5D292A17"/>
    <w:rsid w:val="5D2B6790"/>
    <w:rsid w:val="5D467A6D"/>
    <w:rsid w:val="5D580A21"/>
    <w:rsid w:val="5D5E4DB7"/>
    <w:rsid w:val="5D687E72"/>
    <w:rsid w:val="5D830A40"/>
    <w:rsid w:val="5D852344"/>
    <w:rsid w:val="5D853E54"/>
    <w:rsid w:val="5D87722A"/>
    <w:rsid w:val="5D8B36D2"/>
    <w:rsid w:val="5D8D11F8"/>
    <w:rsid w:val="5D8F705F"/>
    <w:rsid w:val="5DA12EF6"/>
    <w:rsid w:val="5DA30A1C"/>
    <w:rsid w:val="5DA402F0"/>
    <w:rsid w:val="5DA428C4"/>
    <w:rsid w:val="5DA56542"/>
    <w:rsid w:val="5DAB167E"/>
    <w:rsid w:val="5DB15044"/>
    <w:rsid w:val="5DB606CA"/>
    <w:rsid w:val="5DF43D0C"/>
    <w:rsid w:val="5E0019CA"/>
    <w:rsid w:val="5E005E6E"/>
    <w:rsid w:val="5E0771FD"/>
    <w:rsid w:val="5E135536"/>
    <w:rsid w:val="5E145476"/>
    <w:rsid w:val="5E20206C"/>
    <w:rsid w:val="5E252980"/>
    <w:rsid w:val="5E2C27BF"/>
    <w:rsid w:val="5E2C4B13"/>
    <w:rsid w:val="5E341674"/>
    <w:rsid w:val="5E394EDC"/>
    <w:rsid w:val="5E413D91"/>
    <w:rsid w:val="5E53131C"/>
    <w:rsid w:val="5E6C3479"/>
    <w:rsid w:val="5E6D4B86"/>
    <w:rsid w:val="5E72408D"/>
    <w:rsid w:val="5E77028A"/>
    <w:rsid w:val="5E7E1FA2"/>
    <w:rsid w:val="5E863B4E"/>
    <w:rsid w:val="5E942136"/>
    <w:rsid w:val="5E9640DD"/>
    <w:rsid w:val="5E99597B"/>
    <w:rsid w:val="5EB153BA"/>
    <w:rsid w:val="5EB6477F"/>
    <w:rsid w:val="5EB6652D"/>
    <w:rsid w:val="5ECE3876"/>
    <w:rsid w:val="5EF3152F"/>
    <w:rsid w:val="5EF62DCD"/>
    <w:rsid w:val="5F08270F"/>
    <w:rsid w:val="5F2C7AB3"/>
    <w:rsid w:val="5F2E6A0B"/>
    <w:rsid w:val="5F30008D"/>
    <w:rsid w:val="5F351B48"/>
    <w:rsid w:val="5F357D99"/>
    <w:rsid w:val="5F434264"/>
    <w:rsid w:val="5F465B03"/>
    <w:rsid w:val="5F533EA9"/>
    <w:rsid w:val="5F5F6BC4"/>
    <w:rsid w:val="5F630463"/>
    <w:rsid w:val="5F675708"/>
    <w:rsid w:val="5F6B48BC"/>
    <w:rsid w:val="5FA52946"/>
    <w:rsid w:val="5FA840C8"/>
    <w:rsid w:val="5FBE1B3D"/>
    <w:rsid w:val="5FC30F01"/>
    <w:rsid w:val="5FCF559B"/>
    <w:rsid w:val="5FE1582B"/>
    <w:rsid w:val="5FE84E0C"/>
    <w:rsid w:val="5FEC48FC"/>
    <w:rsid w:val="5FED5F7E"/>
    <w:rsid w:val="5FEF1CF6"/>
    <w:rsid w:val="5FF90DC7"/>
    <w:rsid w:val="5FFB4B3F"/>
    <w:rsid w:val="60006022"/>
    <w:rsid w:val="600650AC"/>
    <w:rsid w:val="600D4872"/>
    <w:rsid w:val="602B4D64"/>
    <w:rsid w:val="602F2A3B"/>
    <w:rsid w:val="6031230F"/>
    <w:rsid w:val="603B13E0"/>
    <w:rsid w:val="603C0CB4"/>
    <w:rsid w:val="604C0EF7"/>
    <w:rsid w:val="604C7149"/>
    <w:rsid w:val="604D2603"/>
    <w:rsid w:val="605040C4"/>
    <w:rsid w:val="6062696C"/>
    <w:rsid w:val="60687CFB"/>
    <w:rsid w:val="606D7596"/>
    <w:rsid w:val="60714E01"/>
    <w:rsid w:val="60730B79"/>
    <w:rsid w:val="607B7A2E"/>
    <w:rsid w:val="607D7F84"/>
    <w:rsid w:val="60884473"/>
    <w:rsid w:val="608A1A1F"/>
    <w:rsid w:val="608F34D9"/>
    <w:rsid w:val="60942B0F"/>
    <w:rsid w:val="60A567B7"/>
    <w:rsid w:val="60AB22F1"/>
    <w:rsid w:val="60AF76D8"/>
    <w:rsid w:val="60D23403"/>
    <w:rsid w:val="60E70C20"/>
    <w:rsid w:val="61025A59"/>
    <w:rsid w:val="612302FE"/>
    <w:rsid w:val="61285FC3"/>
    <w:rsid w:val="614D13CA"/>
    <w:rsid w:val="614E5143"/>
    <w:rsid w:val="615269E1"/>
    <w:rsid w:val="61692210"/>
    <w:rsid w:val="616C4DE5"/>
    <w:rsid w:val="61803EB8"/>
    <w:rsid w:val="619743F4"/>
    <w:rsid w:val="61A44D62"/>
    <w:rsid w:val="61AC5C49"/>
    <w:rsid w:val="61C96577"/>
    <w:rsid w:val="61CD42B9"/>
    <w:rsid w:val="61DE0274"/>
    <w:rsid w:val="61E15FB7"/>
    <w:rsid w:val="61E843AE"/>
    <w:rsid w:val="61ED04B8"/>
    <w:rsid w:val="61F335F4"/>
    <w:rsid w:val="61F950AE"/>
    <w:rsid w:val="620E26AC"/>
    <w:rsid w:val="620F47E8"/>
    <w:rsid w:val="621719D8"/>
    <w:rsid w:val="621912AD"/>
    <w:rsid w:val="62194F79"/>
    <w:rsid w:val="621974FF"/>
    <w:rsid w:val="623E6F65"/>
    <w:rsid w:val="6247406C"/>
    <w:rsid w:val="624B51DE"/>
    <w:rsid w:val="625B7201"/>
    <w:rsid w:val="62671A25"/>
    <w:rsid w:val="626F5370"/>
    <w:rsid w:val="627B3D15"/>
    <w:rsid w:val="62891C56"/>
    <w:rsid w:val="628F67DE"/>
    <w:rsid w:val="62930A2A"/>
    <w:rsid w:val="62946B85"/>
    <w:rsid w:val="629B6165"/>
    <w:rsid w:val="62A96AD4"/>
    <w:rsid w:val="62B965EC"/>
    <w:rsid w:val="62BD17EC"/>
    <w:rsid w:val="62CA25A7"/>
    <w:rsid w:val="62E23D94"/>
    <w:rsid w:val="62E25B42"/>
    <w:rsid w:val="62E32B46"/>
    <w:rsid w:val="630B5ABC"/>
    <w:rsid w:val="631657EC"/>
    <w:rsid w:val="631F6D97"/>
    <w:rsid w:val="632717A7"/>
    <w:rsid w:val="6329551F"/>
    <w:rsid w:val="632A4972"/>
    <w:rsid w:val="63381C06"/>
    <w:rsid w:val="63400ABB"/>
    <w:rsid w:val="63464323"/>
    <w:rsid w:val="636576C6"/>
    <w:rsid w:val="63737C62"/>
    <w:rsid w:val="637E7323"/>
    <w:rsid w:val="63860BC4"/>
    <w:rsid w:val="63921CC6"/>
    <w:rsid w:val="6397692D"/>
    <w:rsid w:val="639C3F43"/>
    <w:rsid w:val="63A62ACD"/>
    <w:rsid w:val="63A8314E"/>
    <w:rsid w:val="63B23767"/>
    <w:rsid w:val="63BE65AF"/>
    <w:rsid w:val="63D3192F"/>
    <w:rsid w:val="63E87188"/>
    <w:rsid w:val="63F2026A"/>
    <w:rsid w:val="640A4042"/>
    <w:rsid w:val="6412215E"/>
    <w:rsid w:val="641937E6"/>
    <w:rsid w:val="642A14F1"/>
    <w:rsid w:val="64432611"/>
    <w:rsid w:val="644F0FB6"/>
    <w:rsid w:val="6453553C"/>
    <w:rsid w:val="6454481E"/>
    <w:rsid w:val="64610CE9"/>
    <w:rsid w:val="646D768E"/>
    <w:rsid w:val="64746C6E"/>
    <w:rsid w:val="64760C38"/>
    <w:rsid w:val="64790728"/>
    <w:rsid w:val="647B624F"/>
    <w:rsid w:val="6488096B"/>
    <w:rsid w:val="64947310"/>
    <w:rsid w:val="649966D5"/>
    <w:rsid w:val="649B244D"/>
    <w:rsid w:val="649C6153"/>
    <w:rsid w:val="649E1F3D"/>
    <w:rsid w:val="649E3CEB"/>
    <w:rsid w:val="64BC23C3"/>
    <w:rsid w:val="64BD5EB2"/>
    <w:rsid w:val="64C5396E"/>
    <w:rsid w:val="64C80D68"/>
    <w:rsid w:val="64CA0F84"/>
    <w:rsid w:val="64CD637E"/>
    <w:rsid w:val="64D52427"/>
    <w:rsid w:val="64E35BA2"/>
    <w:rsid w:val="64EB5B2D"/>
    <w:rsid w:val="64EC06E2"/>
    <w:rsid w:val="64F86E23"/>
    <w:rsid w:val="64FA3C91"/>
    <w:rsid w:val="65060673"/>
    <w:rsid w:val="65136487"/>
    <w:rsid w:val="651915C4"/>
    <w:rsid w:val="6522491C"/>
    <w:rsid w:val="65297916"/>
    <w:rsid w:val="652C25DA"/>
    <w:rsid w:val="65392192"/>
    <w:rsid w:val="65420B1A"/>
    <w:rsid w:val="6569254B"/>
    <w:rsid w:val="65695787"/>
    <w:rsid w:val="657553FE"/>
    <w:rsid w:val="657D5FF6"/>
    <w:rsid w:val="65876E75"/>
    <w:rsid w:val="65890608"/>
    <w:rsid w:val="65905D2A"/>
    <w:rsid w:val="65932035"/>
    <w:rsid w:val="65953340"/>
    <w:rsid w:val="65982891"/>
    <w:rsid w:val="65A13A93"/>
    <w:rsid w:val="65A76948"/>
    <w:rsid w:val="65B64428"/>
    <w:rsid w:val="65B677E6"/>
    <w:rsid w:val="65C15EE3"/>
    <w:rsid w:val="65C77271"/>
    <w:rsid w:val="65C9677F"/>
    <w:rsid w:val="65D47C5E"/>
    <w:rsid w:val="65D5373C"/>
    <w:rsid w:val="65E87914"/>
    <w:rsid w:val="65F067C8"/>
    <w:rsid w:val="660A5ADC"/>
    <w:rsid w:val="660D5738"/>
    <w:rsid w:val="660F6D5B"/>
    <w:rsid w:val="661108C1"/>
    <w:rsid w:val="661204ED"/>
    <w:rsid w:val="66124BA9"/>
    <w:rsid w:val="66134265"/>
    <w:rsid w:val="66140139"/>
    <w:rsid w:val="661C580F"/>
    <w:rsid w:val="661D38F1"/>
    <w:rsid w:val="66236B9E"/>
    <w:rsid w:val="662A7F2C"/>
    <w:rsid w:val="662B15AE"/>
    <w:rsid w:val="663453DF"/>
    <w:rsid w:val="66372E57"/>
    <w:rsid w:val="663E7534"/>
    <w:rsid w:val="664804B3"/>
    <w:rsid w:val="66482160"/>
    <w:rsid w:val="66486604"/>
    <w:rsid w:val="665054B9"/>
    <w:rsid w:val="66522FDF"/>
    <w:rsid w:val="665516BD"/>
    <w:rsid w:val="66644AC0"/>
    <w:rsid w:val="667A4407"/>
    <w:rsid w:val="667E3DD4"/>
    <w:rsid w:val="66937EBB"/>
    <w:rsid w:val="66A875EC"/>
    <w:rsid w:val="66B75B04"/>
    <w:rsid w:val="66BB5605"/>
    <w:rsid w:val="66BC48FC"/>
    <w:rsid w:val="66C7577B"/>
    <w:rsid w:val="66CA0DC7"/>
    <w:rsid w:val="66CB4B3F"/>
    <w:rsid w:val="66D103A8"/>
    <w:rsid w:val="66D63C10"/>
    <w:rsid w:val="66E8749F"/>
    <w:rsid w:val="66FC2F4B"/>
    <w:rsid w:val="67030EE4"/>
    <w:rsid w:val="6712451C"/>
    <w:rsid w:val="67136C12"/>
    <w:rsid w:val="6716225F"/>
    <w:rsid w:val="67197C11"/>
    <w:rsid w:val="671D183F"/>
    <w:rsid w:val="67310221"/>
    <w:rsid w:val="673B1CC5"/>
    <w:rsid w:val="674A5F2F"/>
    <w:rsid w:val="675114E9"/>
    <w:rsid w:val="67513297"/>
    <w:rsid w:val="67521CAD"/>
    <w:rsid w:val="67654F94"/>
    <w:rsid w:val="67806025"/>
    <w:rsid w:val="67915D89"/>
    <w:rsid w:val="679D64DC"/>
    <w:rsid w:val="67A535E2"/>
    <w:rsid w:val="67A55390"/>
    <w:rsid w:val="67A755AC"/>
    <w:rsid w:val="67A770D3"/>
    <w:rsid w:val="67B33F51"/>
    <w:rsid w:val="67B43BAE"/>
    <w:rsid w:val="67BB2632"/>
    <w:rsid w:val="67BE52D5"/>
    <w:rsid w:val="67C717AB"/>
    <w:rsid w:val="67D07FE2"/>
    <w:rsid w:val="67D30150"/>
    <w:rsid w:val="67DE44D5"/>
    <w:rsid w:val="67E934CF"/>
    <w:rsid w:val="67EE4F89"/>
    <w:rsid w:val="68064344"/>
    <w:rsid w:val="68096EE4"/>
    <w:rsid w:val="6812496D"/>
    <w:rsid w:val="681C1AF7"/>
    <w:rsid w:val="681D761D"/>
    <w:rsid w:val="68531098"/>
    <w:rsid w:val="68635B7B"/>
    <w:rsid w:val="688558EE"/>
    <w:rsid w:val="688607B0"/>
    <w:rsid w:val="6892632C"/>
    <w:rsid w:val="689661AC"/>
    <w:rsid w:val="68994EF5"/>
    <w:rsid w:val="68BE2BAE"/>
    <w:rsid w:val="68C36416"/>
    <w:rsid w:val="68D41200"/>
    <w:rsid w:val="68D4658B"/>
    <w:rsid w:val="68F46498"/>
    <w:rsid w:val="69090C1E"/>
    <w:rsid w:val="69117139"/>
    <w:rsid w:val="692E7D33"/>
    <w:rsid w:val="69305702"/>
    <w:rsid w:val="693115D2"/>
    <w:rsid w:val="693410C2"/>
    <w:rsid w:val="693E5A9D"/>
    <w:rsid w:val="69472BA3"/>
    <w:rsid w:val="694F2E29"/>
    <w:rsid w:val="695B664F"/>
    <w:rsid w:val="697A2F79"/>
    <w:rsid w:val="697D0373"/>
    <w:rsid w:val="6985522F"/>
    <w:rsid w:val="698C72B7"/>
    <w:rsid w:val="69B108F9"/>
    <w:rsid w:val="69B67D29"/>
    <w:rsid w:val="69BB1D1F"/>
    <w:rsid w:val="69BD10B7"/>
    <w:rsid w:val="69BE3E37"/>
    <w:rsid w:val="69C00663"/>
    <w:rsid w:val="69C7584A"/>
    <w:rsid w:val="69E95A08"/>
    <w:rsid w:val="69F10D61"/>
    <w:rsid w:val="6A013D24"/>
    <w:rsid w:val="6A042842"/>
    <w:rsid w:val="6A050368"/>
    <w:rsid w:val="6A14250A"/>
    <w:rsid w:val="6A1D56B2"/>
    <w:rsid w:val="6A3C5AE7"/>
    <w:rsid w:val="6A4315BC"/>
    <w:rsid w:val="6A4610AD"/>
    <w:rsid w:val="6A476FE2"/>
    <w:rsid w:val="6A55309E"/>
    <w:rsid w:val="6A574388"/>
    <w:rsid w:val="6A5819A0"/>
    <w:rsid w:val="6A582B8E"/>
    <w:rsid w:val="6A5A033B"/>
    <w:rsid w:val="6A674B7F"/>
    <w:rsid w:val="6A794FDE"/>
    <w:rsid w:val="6A7C4ACE"/>
    <w:rsid w:val="6A8A71EB"/>
    <w:rsid w:val="6AA14535"/>
    <w:rsid w:val="6AA3205B"/>
    <w:rsid w:val="6AB029CA"/>
    <w:rsid w:val="6ACB4249"/>
    <w:rsid w:val="6ACD04A5"/>
    <w:rsid w:val="6AE7533B"/>
    <w:rsid w:val="6AE80245"/>
    <w:rsid w:val="6AEF704E"/>
    <w:rsid w:val="6AF74155"/>
    <w:rsid w:val="6B035697"/>
    <w:rsid w:val="6B0C5E52"/>
    <w:rsid w:val="6B0D1BCA"/>
    <w:rsid w:val="6B106FC5"/>
    <w:rsid w:val="6B2D5DC9"/>
    <w:rsid w:val="6B2F7D93"/>
    <w:rsid w:val="6B300EF8"/>
    <w:rsid w:val="6B3727A3"/>
    <w:rsid w:val="6B3E369B"/>
    <w:rsid w:val="6B40549D"/>
    <w:rsid w:val="6B476E8A"/>
    <w:rsid w:val="6B4B23DF"/>
    <w:rsid w:val="6B5939A2"/>
    <w:rsid w:val="6B661BE3"/>
    <w:rsid w:val="6B6B0A93"/>
    <w:rsid w:val="6B741C4A"/>
    <w:rsid w:val="6B767770"/>
    <w:rsid w:val="6B7B6B34"/>
    <w:rsid w:val="6B855C05"/>
    <w:rsid w:val="6B8F438D"/>
    <w:rsid w:val="6B910106"/>
    <w:rsid w:val="6B9F6CC6"/>
    <w:rsid w:val="6BA0262E"/>
    <w:rsid w:val="6BC4672D"/>
    <w:rsid w:val="6BCB2498"/>
    <w:rsid w:val="6BD628B7"/>
    <w:rsid w:val="6BD821D8"/>
    <w:rsid w:val="6BDD159D"/>
    <w:rsid w:val="6BE20961"/>
    <w:rsid w:val="6BF176D1"/>
    <w:rsid w:val="6BFF59B7"/>
    <w:rsid w:val="6C00528B"/>
    <w:rsid w:val="6C0905E4"/>
    <w:rsid w:val="6C223454"/>
    <w:rsid w:val="6C3167E1"/>
    <w:rsid w:val="6C361416"/>
    <w:rsid w:val="6C3B3E2F"/>
    <w:rsid w:val="6C3D5024"/>
    <w:rsid w:val="6C4C4C1E"/>
    <w:rsid w:val="6C4D6722"/>
    <w:rsid w:val="6C586FB3"/>
    <w:rsid w:val="6C5A2BED"/>
    <w:rsid w:val="6C691082"/>
    <w:rsid w:val="6C787517"/>
    <w:rsid w:val="6C953C26"/>
    <w:rsid w:val="6C97174C"/>
    <w:rsid w:val="6C9768B4"/>
    <w:rsid w:val="6C9E6F7E"/>
    <w:rsid w:val="6CBC5656"/>
    <w:rsid w:val="6CD52274"/>
    <w:rsid w:val="6CDC3982"/>
    <w:rsid w:val="6CDE737B"/>
    <w:rsid w:val="6CF21078"/>
    <w:rsid w:val="6D061009"/>
    <w:rsid w:val="6D0D1A0E"/>
    <w:rsid w:val="6D254FA9"/>
    <w:rsid w:val="6D260D22"/>
    <w:rsid w:val="6D2C27DC"/>
    <w:rsid w:val="6D3E606B"/>
    <w:rsid w:val="6D480C98"/>
    <w:rsid w:val="6D4A0EB4"/>
    <w:rsid w:val="6D641990"/>
    <w:rsid w:val="6D6D72DC"/>
    <w:rsid w:val="6D6F010C"/>
    <w:rsid w:val="6D7B72BF"/>
    <w:rsid w:val="6D7C5B17"/>
    <w:rsid w:val="6D88378A"/>
    <w:rsid w:val="6D8C327A"/>
    <w:rsid w:val="6D9A311E"/>
    <w:rsid w:val="6D9A560E"/>
    <w:rsid w:val="6D9E4D5C"/>
    <w:rsid w:val="6DA265FA"/>
    <w:rsid w:val="6DB1683D"/>
    <w:rsid w:val="6DBB4B5C"/>
    <w:rsid w:val="6DCA1206"/>
    <w:rsid w:val="6DE2733E"/>
    <w:rsid w:val="6DE36081"/>
    <w:rsid w:val="6DE94229"/>
    <w:rsid w:val="6DEC3D19"/>
    <w:rsid w:val="6DF57072"/>
    <w:rsid w:val="6DFDE3BE"/>
    <w:rsid w:val="6DFE57FA"/>
    <w:rsid w:val="6E10402A"/>
    <w:rsid w:val="6E1108A3"/>
    <w:rsid w:val="6E113780"/>
    <w:rsid w:val="6E1374F8"/>
    <w:rsid w:val="6E16620A"/>
    <w:rsid w:val="6E2A7F49"/>
    <w:rsid w:val="6E3A4A84"/>
    <w:rsid w:val="6E3D27C7"/>
    <w:rsid w:val="6E3F149C"/>
    <w:rsid w:val="6E69248F"/>
    <w:rsid w:val="6E7B6E4B"/>
    <w:rsid w:val="6E7C32EF"/>
    <w:rsid w:val="6E825EF1"/>
    <w:rsid w:val="6E8757F0"/>
    <w:rsid w:val="6E8953DC"/>
    <w:rsid w:val="6E8C2E06"/>
    <w:rsid w:val="6E91041D"/>
    <w:rsid w:val="6EA01056"/>
    <w:rsid w:val="6EA211C1"/>
    <w:rsid w:val="6EAB14DE"/>
    <w:rsid w:val="6EC66FFE"/>
    <w:rsid w:val="6EF70A80"/>
    <w:rsid w:val="6EF82458"/>
    <w:rsid w:val="6EFC1D52"/>
    <w:rsid w:val="6EFD5AB2"/>
    <w:rsid w:val="6F152CAB"/>
    <w:rsid w:val="6F1A48B6"/>
    <w:rsid w:val="6F1B2B08"/>
    <w:rsid w:val="6F1C23DC"/>
    <w:rsid w:val="6F1E6154"/>
    <w:rsid w:val="6F1F3C7A"/>
    <w:rsid w:val="6F206B8A"/>
    <w:rsid w:val="6F34735B"/>
    <w:rsid w:val="6F3B6D06"/>
    <w:rsid w:val="6F3C482C"/>
    <w:rsid w:val="6F51243F"/>
    <w:rsid w:val="6F59718C"/>
    <w:rsid w:val="6F5C0A2B"/>
    <w:rsid w:val="6F5D2C01"/>
    <w:rsid w:val="6F633A2E"/>
    <w:rsid w:val="6F667AFB"/>
    <w:rsid w:val="6F6761A3"/>
    <w:rsid w:val="6F6F3387"/>
    <w:rsid w:val="6F71472B"/>
    <w:rsid w:val="6F78548A"/>
    <w:rsid w:val="6F7E1D89"/>
    <w:rsid w:val="6F857F81"/>
    <w:rsid w:val="6F8B1310"/>
    <w:rsid w:val="6FA36659"/>
    <w:rsid w:val="6FA36ACE"/>
    <w:rsid w:val="6FAC2B64"/>
    <w:rsid w:val="6FAD74D8"/>
    <w:rsid w:val="6FB95E7D"/>
    <w:rsid w:val="6FBD2CA3"/>
    <w:rsid w:val="6FC54822"/>
    <w:rsid w:val="6FCA1077"/>
    <w:rsid w:val="6FCA1E38"/>
    <w:rsid w:val="6FE80510"/>
    <w:rsid w:val="6FE85E1F"/>
    <w:rsid w:val="6FEF7AF1"/>
    <w:rsid w:val="6FFD5D56"/>
    <w:rsid w:val="700F3CEF"/>
    <w:rsid w:val="701D640C"/>
    <w:rsid w:val="70201C8A"/>
    <w:rsid w:val="7038533E"/>
    <w:rsid w:val="703B2D36"/>
    <w:rsid w:val="703E5658"/>
    <w:rsid w:val="703F2826"/>
    <w:rsid w:val="70433998"/>
    <w:rsid w:val="7055204A"/>
    <w:rsid w:val="70553DF8"/>
    <w:rsid w:val="706C1141"/>
    <w:rsid w:val="70706D89"/>
    <w:rsid w:val="70710447"/>
    <w:rsid w:val="70731A1E"/>
    <w:rsid w:val="707A385E"/>
    <w:rsid w:val="707C7654"/>
    <w:rsid w:val="70804EFB"/>
    <w:rsid w:val="70980188"/>
    <w:rsid w:val="709D12FB"/>
    <w:rsid w:val="70A14AB9"/>
    <w:rsid w:val="70A1528F"/>
    <w:rsid w:val="70A46B2D"/>
    <w:rsid w:val="70AA1CA3"/>
    <w:rsid w:val="70C2118B"/>
    <w:rsid w:val="70CD6084"/>
    <w:rsid w:val="70D86DF9"/>
    <w:rsid w:val="70D94A29"/>
    <w:rsid w:val="70DA254F"/>
    <w:rsid w:val="70DC1E23"/>
    <w:rsid w:val="70DD5B9B"/>
    <w:rsid w:val="70E53244"/>
    <w:rsid w:val="70E70F65"/>
    <w:rsid w:val="70F353BF"/>
    <w:rsid w:val="70FD40BB"/>
    <w:rsid w:val="710870BC"/>
    <w:rsid w:val="71123A97"/>
    <w:rsid w:val="711E68DF"/>
    <w:rsid w:val="71245578"/>
    <w:rsid w:val="71267D14"/>
    <w:rsid w:val="712F596B"/>
    <w:rsid w:val="71411B5D"/>
    <w:rsid w:val="715E0C15"/>
    <w:rsid w:val="71724535"/>
    <w:rsid w:val="71742717"/>
    <w:rsid w:val="717464FF"/>
    <w:rsid w:val="717B0A6A"/>
    <w:rsid w:val="718B15D1"/>
    <w:rsid w:val="718C5A4D"/>
    <w:rsid w:val="718D75C1"/>
    <w:rsid w:val="719B1CDE"/>
    <w:rsid w:val="719E532A"/>
    <w:rsid w:val="71AF5789"/>
    <w:rsid w:val="71B34792"/>
    <w:rsid w:val="71BB2380"/>
    <w:rsid w:val="71DB657E"/>
    <w:rsid w:val="71E35433"/>
    <w:rsid w:val="71F15DA2"/>
    <w:rsid w:val="71F65166"/>
    <w:rsid w:val="71FE04BF"/>
    <w:rsid w:val="72010608"/>
    <w:rsid w:val="721909E8"/>
    <w:rsid w:val="72190E55"/>
    <w:rsid w:val="721E646B"/>
    <w:rsid w:val="722A12B4"/>
    <w:rsid w:val="722A4E10"/>
    <w:rsid w:val="72367C59"/>
    <w:rsid w:val="723B701D"/>
    <w:rsid w:val="72473C14"/>
    <w:rsid w:val="7249173A"/>
    <w:rsid w:val="72681691"/>
    <w:rsid w:val="726A62EC"/>
    <w:rsid w:val="72800ED4"/>
    <w:rsid w:val="728108D4"/>
    <w:rsid w:val="72824C4C"/>
    <w:rsid w:val="72896F2C"/>
    <w:rsid w:val="72A14F9D"/>
    <w:rsid w:val="72B312A9"/>
    <w:rsid w:val="72BA45C2"/>
    <w:rsid w:val="72C47013"/>
    <w:rsid w:val="72C74D55"/>
    <w:rsid w:val="72C902B7"/>
    <w:rsid w:val="72D1451B"/>
    <w:rsid w:val="72D336FA"/>
    <w:rsid w:val="72DA4A88"/>
    <w:rsid w:val="72DF5BD6"/>
    <w:rsid w:val="72E01973"/>
    <w:rsid w:val="72E476B5"/>
    <w:rsid w:val="72E82D1E"/>
    <w:rsid w:val="72EC33ED"/>
    <w:rsid w:val="72F474DF"/>
    <w:rsid w:val="72F83160"/>
    <w:rsid w:val="73027B3B"/>
    <w:rsid w:val="73073B4D"/>
    <w:rsid w:val="7309711B"/>
    <w:rsid w:val="730D17BA"/>
    <w:rsid w:val="73142CD6"/>
    <w:rsid w:val="7317373E"/>
    <w:rsid w:val="731C0BFD"/>
    <w:rsid w:val="732301DD"/>
    <w:rsid w:val="732710B7"/>
    <w:rsid w:val="732950C1"/>
    <w:rsid w:val="733502CD"/>
    <w:rsid w:val="734061EE"/>
    <w:rsid w:val="734343DB"/>
    <w:rsid w:val="73487C44"/>
    <w:rsid w:val="73504175"/>
    <w:rsid w:val="735C724B"/>
    <w:rsid w:val="735D2FC3"/>
    <w:rsid w:val="735D3658"/>
    <w:rsid w:val="73697BBA"/>
    <w:rsid w:val="736B56E0"/>
    <w:rsid w:val="73797DFD"/>
    <w:rsid w:val="738B18DE"/>
    <w:rsid w:val="73913434"/>
    <w:rsid w:val="73974727"/>
    <w:rsid w:val="739B4892"/>
    <w:rsid w:val="73A87A1C"/>
    <w:rsid w:val="73CB617F"/>
    <w:rsid w:val="73D03E7C"/>
    <w:rsid w:val="73D43285"/>
    <w:rsid w:val="73D455CC"/>
    <w:rsid w:val="73D921CC"/>
    <w:rsid w:val="73DF2241"/>
    <w:rsid w:val="73EA4857"/>
    <w:rsid w:val="73EA71DC"/>
    <w:rsid w:val="73ED2599"/>
    <w:rsid w:val="73F56649"/>
    <w:rsid w:val="73F90F3E"/>
    <w:rsid w:val="7406465E"/>
    <w:rsid w:val="740C6EC3"/>
    <w:rsid w:val="741D60E7"/>
    <w:rsid w:val="74324450"/>
    <w:rsid w:val="74455F31"/>
    <w:rsid w:val="74597C2E"/>
    <w:rsid w:val="74726B6E"/>
    <w:rsid w:val="74830CC4"/>
    <w:rsid w:val="74842EFD"/>
    <w:rsid w:val="74856C75"/>
    <w:rsid w:val="748922C2"/>
    <w:rsid w:val="74A25132"/>
    <w:rsid w:val="74B35591"/>
    <w:rsid w:val="74BF515B"/>
    <w:rsid w:val="74C432FA"/>
    <w:rsid w:val="74CA2729"/>
    <w:rsid w:val="74D55507"/>
    <w:rsid w:val="74D76AD3"/>
    <w:rsid w:val="74E76FE8"/>
    <w:rsid w:val="74EC4850"/>
    <w:rsid w:val="74FE034B"/>
    <w:rsid w:val="750951B1"/>
    <w:rsid w:val="750D2EF3"/>
    <w:rsid w:val="750E0A19"/>
    <w:rsid w:val="75104791"/>
    <w:rsid w:val="751B1A72"/>
    <w:rsid w:val="753164B5"/>
    <w:rsid w:val="755C79D6"/>
    <w:rsid w:val="75614FED"/>
    <w:rsid w:val="75625434"/>
    <w:rsid w:val="756B19C7"/>
    <w:rsid w:val="75722F66"/>
    <w:rsid w:val="75866801"/>
    <w:rsid w:val="758962F1"/>
    <w:rsid w:val="75932CCC"/>
    <w:rsid w:val="759E350B"/>
    <w:rsid w:val="75A35605"/>
    <w:rsid w:val="75B45286"/>
    <w:rsid w:val="75C33980"/>
    <w:rsid w:val="75C37A55"/>
    <w:rsid w:val="75D411D5"/>
    <w:rsid w:val="75D92DD5"/>
    <w:rsid w:val="75FE6CDF"/>
    <w:rsid w:val="75FF7D4B"/>
    <w:rsid w:val="760140DA"/>
    <w:rsid w:val="760D398B"/>
    <w:rsid w:val="76103E06"/>
    <w:rsid w:val="76113A9E"/>
    <w:rsid w:val="762772B2"/>
    <w:rsid w:val="762A70B6"/>
    <w:rsid w:val="762E65C5"/>
    <w:rsid w:val="762F50EB"/>
    <w:rsid w:val="76331BB3"/>
    <w:rsid w:val="76360227"/>
    <w:rsid w:val="76361FD5"/>
    <w:rsid w:val="76397D18"/>
    <w:rsid w:val="763A28FD"/>
    <w:rsid w:val="764861AD"/>
    <w:rsid w:val="765C57B4"/>
    <w:rsid w:val="766052A4"/>
    <w:rsid w:val="76662190"/>
    <w:rsid w:val="767A5ABE"/>
    <w:rsid w:val="767B51AA"/>
    <w:rsid w:val="768E1E11"/>
    <w:rsid w:val="76A2766B"/>
    <w:rsid w:val="76B2020B"/>
    <w:rsid w:val="76B92C06"/>
    <w:rsid w:val="76BD26F7"/>
    <w:rsid w:val="76C5434F"/>
    <w:rsid w:val="76C770D1"/>
    <w:rsid w:val="76CC2397"/>
    <w:rsid w:val="76CC293A"/>
    <w:rsid w:val="76D161A2"/>
    <w:rsid w:val="76E00193"/>
    <w:rsid w:val="76E25CB9"/>
    <w:rsid w:val="76F9505E"/>
    <w:rsid w:val="76FA74A7"/>
    <w:rsid w:val="76FC172C"/>
    <w:rsid w:val="770976EA"/>
    <w:rsid w:val="7722255A"/>
    <w:rsid w:val="772C1811"/>
    <w:rsid w:val="7730111A"/>
    <w:rsid w:val="77302EC9"/>
    <w:rsid w:val="77336515"/>
    <w:rsid w:val="774272F3"/>
    <w:rsid w:val="774626EC"/>
    <w:rsid w:val="7748643A"/>
    <w:rsid w:val="775F555C"/>
    <w:rsid w:val="77692691"/>
    <w:rsid w:val="777F175A"/>
    <w:rsid w:val="77843214"/>
    <w:rsid w:val="77882D05"/>
    <w:rsid w:val="77997C43"/>
    <w:rsid w:val="77A94A29"/>
    <w:rsid w:val="77A97D67"/>
    <w:rsid w:val="77B77146"/>
    <w:rsid w:val="77C875A5"/>
    <w:rsid w:val="77CF41DC"/>
    <w:rsid w:val="77E15873"/>
    <w:rsid w:val="77EB6DF0"/>
    <w:rsid w:val="77EF68E0"/>
    <w:rsid w:val="77FF2977"/>
    <w:rsid w:val="780D4FB8"/>
    <w:rsid w:val="780F7630"/>
    <w:rsid w:val="78120820"/>
    <w:rsid w:val="78144598"/>
    <w:rsid w:val="78166313"/>
    <w:rsid w:val="781E0F73"/>
    <w:rsid w:val="782A6B49"/>
    <w:rsid w:val="782D2ACB"/>
    <w:rsid w:val="783469E8"/>
    <w:rsid w:val="783B7D77"/>
    <w:rsid w:val="7840538D"/>
    <w:rsid w:val="784116AF"/>
    <w:rsid w:val="784604CA"/>
    <w:rsid w:val="784D3606"/>
    <w:rsid w:val="7856695F"/>
    <w:rsid w:val="78656BA2"/>
    <w:rsid w:val="7880578A"/>
    <w:rsid w:val="78853F6C"/>
    <w:rsid w:val="78A54E3F"/>
    <w:rsid w:val="78BD058C"/>
    <w:rsid w:val="78CB76BC"/>
    <w:rsid w:val="78D747B9"/>
    <w:rsid w:val="78E0091E"/>
    <w:rsid w:val="78E33F6B"/>
    <w:rsid w:val="78EA5225"/>
    <w:rsid w:val="78F93137"/>
    <w:rsid w:val="78FF6FF6"/>
    <w:rsid w:val="79020895"/>
    <w:rsid w:val="790424FD"/>
    <w:rsid w:val="79134850"/>
    <w:rsid w:val="791D56CF"/>
    <w:rsid w:val="79206165"/>
    <w:rsid w:val="7923015C"/>
    <w:rsid w:val="792337C5"/>
    <w:rsid w:val="79273E57"/>
    <w:rsid w:val="793C4B18"/>
    <w:rsid w:val="79520BA4"/>
    <w:rsid w:val="795A247F"/>
    <w:rsid w:val="795B7FA5"/>
    <w:rsid w:val="796055BB"/>
    <w:rsid w:val="796169A8"/>
    <w:rsid w:val="796706F8"/>
    <w:rsid w:val="796F3009"/>
    <w:rsid w:val="79733540"/>
    <w:rsid w:val="797A48CF"/>
    <w:rsid w:val="797C35CC"/>
    <w:rsid w:val="79A50C04"/>
    <w:rsid w:val="79B7167F"/>
    <w:rsid w:val="79BF2E4B"/>
    <w:rsid w:val="79CD0EA3"/>
    <w:rsid w:val="79E306C6"/>
    <w:rsid w:val="79FC7092"/>
    <w:rsid w:val="7A067F11"/>
    <w:rsid w:val="7A0F1355"/>
    <w:rsid w:val="7A2465E9"/>
    <w:rsid w:val="7A2B5BC9"/>
    <w:rsid w:val="7A2F5A49"/>
    <w:rsid w:val="7A3031E0"/>
    <w:rsid w:val="7A4D3D91"/>
    <w:rsid w:val="7A560E98"/>
    <w:rsid w:val="7A5835DB"/>
    <w:rsid w:val="7A686A8F"/>
    <w:rsid w:val="7A7B08FF"/>
    <w:rsid w:val="7A8B501A"/>
    <w:rsid w:val="7A9E17C0"/>
    <w:rsid w:val="7AA02113"/>
    <w:rsid w:val="7AA8546C"/>
    <w:rsid w:val="7AAC4F5C"/>
    <w:rsid w:val="7AB21E46"/>
    <w:rsid w:val="7ACA53E2"/>
    <w:rsid w:val="7ADC6EC3"/>
    <w:rsid w:val="7AE505F7"/>
    <w:rsid w:val="7AF84965"/>
    <w:rsid w:val="7B05003E"/>
    <w:rsid w:val="7B072192"/>
    <w:rsid w:val="7B301E94"/>
    <w:rsid w:val="7B3A4316"/>
    <w:rsid w:val="7B4D150D"/>
    <w:rsid w:val="7B564EC8"/>
    <w:rsid w:val="7B5B24DE"/>
    <w:rsid w:val="7B5E00B2"/>
    <w:rsid w:val="7B616C65"/>
    <w:rsid w:val="7B7F441F"/>
    <w:rsid w:val="7B7F7F7B"/>
    <w:rsid w:val="7B841759"/>
    <w:rsid w:val="7B8772C8"/>
    <w:rsid w:val="7B8B59F4"/>
    <w:rsid w:val="7B902188"/>
    <w:rsid w:val="7B963516"/>
    <w:rsid w:val="7B9A0C8F"/>
    <w:rsid w:val="7BA021F1"/>
    <w:rsid w:val="7BA63759"/>
    <w:rsid w:val="7BA8008D"/>
    <w:rsid w:val="7BA94E53"/>
    <w:rsid w:val="7BC736D0"/>
    <w:rsid w:val="7BC938EC"/>
    <w:rsid w:val="7BCF048F"/>
    <w:rsid w:val="7BD04C7A"/>
    <w:rsid w:val="7BD302C6"/>
    <w:rsid w:val="7BE03AF4"/>
    <w:rsid w:val="7C047953"/>
    <w:rsid w:val="7C137E1D"/>
    <w:rsid w:val="7C154449"/>
    <w:rsid w:val="7C1903CF"/>
    <w:rsid w:val="7C1F4139"/>
    <w:rsid w:val="7C262AEC"/>
    <w:rsid w:val="7C43747B"/>
    <w:rsid w:val="7C4B60AF"/>
    <w:rsid w:val="7C522772"/>
    <w:rsid w:val="7C541407"/>
    <w:rsid w:val="7C63164A"/>
    <w:rsid w:val="7C6B04FF"/>
    <w:rsid w:val="7C743857"/>
    <w:rsid w:val="7C7542F8"/>
    <w:rsid w:val="7C773348"/>
    <w:rsid w:val="7C7C44BA"/>
    <w:rsid w:val="7C8141C6"/>
    <w:rsid w:val="7C907F65"/>
    <w:rsid w:val="7C914409"/>
    <w:rsid w:val="7C921F30"/>
    <w:rsid w:val="7C9C0CBA"/>
    <w:rsid w:val="7CA83501"/>
    <w:rsid w:val="7CA852AF"/>
    <w:rsid w:val="7CAD3F03"/>
    <w:rsid w:val="7CB225D2"/>
    <w:rsid w:val="7CB564A2"/>
    <w:rsid w:val="7CC067ED"/>
    <w:rsid w:val="7CC06A9D"/>
    <w:rsid w:val="7CC85951"/>
    <w:rsid w:val="7CDE33C7"/>
    <w:rsid w:val="7CE609C5"/>
    <w:rsid w:val="7CF36E72"/>
    <w:rsid w:val="7CF404F4"/>
    <w:rsid w:val="7CF60710"/>
    <w:rsid w:val="7CF95B0B"/>
    <w:rsid w:val="7CFD1526"/>
    <w:rsid w:val="7D083FA0"/>
    <w:rsid w:val="7D1307C6"/>
    <w:rsid w:val="7D2D1C58"/>
    <w:rsid w:val="7D3E3E65"/>
    <w:rsid w:val="7D450988"/>
    <w:rsid w:val="7D4B6F86"/>
    <w:rsid w:val="7D4E40A8"/>
    <w:rsid w:val="7D7653AD"/>
    <w:rsid w:val="7D7B688B"/>
    <w:rsid w:val="7D7D2BE0"/>
    <w:rsid w:val="7D7D498E"/>
    <w:rsid w:val="7D7F24B4"/>
    <w:rsid w:val="7D807FDA"/>
    <w:rsid w:val="7D891584"/>
    <w:rsid w:val="7D917A20"/>
    <w:rsid w:val="7D951CD7"/>
    <w:rsid w:val="7DC223A1"/>
    <w:rsid w:val="7DCA5ED3"/>
    <w:rsid w:val="7DD57DC1"/>
    <w:rsid w:val="7DD81BC4"/>
    <w:rsid w:val="7DEA1C21"/>
    <w:rsid w:val="7E1F3C97"/>
    <w:rsid w:val="7E235506"/>
    <w:rsid w:val="7E244E09"/>
    <w:rsid w:val="7E310E83"/>
    <w:rsid w:val="7E411F3D"/>
    <w:rsid w:val="7E465103"/>
    <w:rsid w:val="7E53749D"/>
    <w:rsid w:val="7E543940"/>
    <w:rsid w:val="7E582D05"/>
    <w:rsid w:val="7E5A62C9"/>
    <w:rsid w:val="7E6873EC"/>
    <w:rsid w:val="7E851D4C"/>
    <w:rsid w:val="7E8B6C36"/>
    <w:rsid w:val="7E8D29AE"/>
    <w:rsid w:val="7E94486E"/>
    <w:rsid w:val="7E9F26E2"/>
    <w:rsid w:val="7EA321D2"/>
    <w:rsid w:val="7EA61E53"/>
    <w:rsid w:val="7EA82D87"/>
    <w:rsid w:val="7EA877E8"/>
    <w:rsid w:val="7EB048EF"/>
    <w:rsid w:val="7EB268B9"/>
    <w:rsid w:val="7EB74A6A"/>
    <w:rsid w:val="7EBC7738"/>
    <w:rsid w:val="7EC65EC0"/>
    <w:rsid w:val="7ED607F9"/>
    <w:rsid w:val="7ED87864"/>
    <w:rsid w:val="7EEE5BE3"/>
    <w:rsid w:val="7EF96296"/>
    <w:rsid w:val="7EFB3DBC"/>
    <w:rsid w:val="7F231565"/>
    <w:rsid w:val="7F4F263F"/>
    <w:rsid w:val="7F54171E"/>
    <w:rsid w:val="7F590AE3"/>
    <w:rsid w:val="7F6F0306"/>
    <w:rsid w:val="7F791185"/>
    <w:rsid w:val="7F7C0E51"/>
    <w:rsid w:val="7F7D0C75"/>
    <w:rsid w:val="7F8C2C66"/>
    <w:rsid w:val="7F9B734D"/>
    <w:rsid w:val="7F9E0801"/>
    <w:rsid w:val="7FA13A80"/>
    <w:rsid w:val="7FC05006"/>
    <w:rsid w:val="7FC93EBA"/>
    <w:rsid w:val="7FCE693F"/>
    <w:rsid w:val="7FDB2A42"/>
    <w:rsid w:val="7FDD34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578" w:lineRule="auto"/>
      <w:outlineLvl w:val="0"/>
    </w:pPr>
    <w:rPr>
      <w:rFonts w:eastAsia="华文中宋"/>
      <w:b/>
      <w:bCs/>
      <w:kern w:val="44"/>
      <w:sz w:val="32"/>
      <w:szCs w:val="44"/>
    </w:rPr>
  </w:style>
  <w:style w:type="paragraph" w:styleId="4">
    <w:name w:val="heading 2"/>
    <w:basedOn w:val="1"/>
    <w:next w:val="1"/>
    <w:autoRedefine/>
    <w:qFormat/>
    <w:uiPriority w:val="0"/>
    <w:pPr>
      <w:keepNext/>
      <w:keepLines/>
      <w:spacing w:line="416" w:lineRule="auto"/>
      <w:outlineLvl w:val="1"/>
    </w:pPr>
    <w:rPr>
      <w:rFonts w:hint="eastAsia" w:ascii="Arial" w:hAnsi="Arial" w:eastAsia="黑体"/>
      <w:b/>
      <w:bCs/>
      <w:sz w:val="32"/>
      <w:szCs w:val="32"/>
    </w:rPr>
  </w:style>
  <w:style w:type="paragraph" w:styleId="5">
    <w:name w:val="heading 3"/>
    <w:basedOn w:val="1"/>
    <w:next w:val="1"/>
    <w:autoRedefine/>
    <w:qFormat/>
    <w:uiPriority w:val="0"/>
    <w:pPr>
      <w:keepNext/>
      <w:keepLines/>
      <w:spacing w:line="416" w:lineRule="auto"/>
      <w:outlineLvl w:val="2"/>
    </w:pPr>
    <w:rPr>
      <w:b/>
      <w:bCs/>
      <w:sz w:val="32"/>
      <w:szCs w:val="32"/>
    </w:rPr>
  </w:style>
  <w:style w:type="paragraph" w:styleId="6">
    <w:name w:val="heading 4"/>
    <w:basedOn w:val="1"/>
    <w:next w:val="1"/>
    <w:autoRedefine/>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26">
    <w:name w:val="Default Paragraph Font"/>
    <w:autoRedefine/>
    <w:unhideWhenUsed/>
    <w:qFormat/>
    <w:uiPriority w:val="1"/>
  </w:style>
  <w:style w:type="table" w:default="1" w:styleId="24">
    <w:name w:val="Normal Table"/>
    <w:autoRedefine/>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hint="eastAsia"/>
      <w:sz w:val="18"/>
      <w:szCs w:val="18"/>
    </w:rPr>
  </w:style>
  <w:style w:type="paragraph" w:styleId="7">
    <w:name w:val="Normal Indent"/>
    <w:basedOn w:val="1"/>
    <w:next w:val="1"/>
    <w:autoRedefine/>
    <w:qFormat/>
    <w:uiPriority w:val="0"/>
    <w:pPr>
      <w:ind w:firstLine="420" w:firstLineChars="200"/>
    </w:pPr>
  </w:style>
  <w:style w:type="paragraph" w:styleId="8">
    <w:name w:val="annotation text"/>
    <w:basedOn w:val="1"/>
    <w:autoRedefine/>
    <w:qFormat/>
    <w:uiPriority w:val="0"/>
    <w:pPr>
      <w:jc w:val="left"/>
    </w:pPr>
  </w:style>
  <w:style w:type="paragraph" w:styleId="9">
    <w:name w:val="Body Text 3"/>
    <w:basedOn w:val="1"/>
    <w:autoRedefine/>
    <w:qFormat/>
    <w:uiPriority w:val="0"/>
    <w:pPr>
      <w:spacing w:line="80" w:lineRule="atLeast"/>
    </w:pPr>
    <w:rPr>
      <w:rFonts w:ascii="楷体_GB2312" w:eastAsia="楷体_GB2312"/>
      <w:sz w:val="28"/>
    </w:rPr>
  </w:style>
  <w:style w:type="paragraph" w:styleId="10">
    <w:name w:val="Body Text"/>
    <w:basedOn w:val="1"/>
    <w:next w:val="1"/>
    <w:autoRedefine/>
    <w:qFormat/>
    <w:uiPriority w:val="0"/>
    <w:rPr>
      <w:rFonts w:eastAsia="楷体_GB2312"/>
      <w:sz w:val="30"/>
      <w:szCs w:val="20"/>
    </w:rPr>
  </w:style>
  <w:style w:type="paragraph" w:styleId="11">
    <w:name w:val="Body Text Indent"/>
    <w:basedOn w:val="1"/>
    <w:next w:val="12"/>
    <w:autoRedefine/>
    <w:qFormat/>
    <w:uiPriority w:val="0"/>
    <w:pPr>
      <w:ind w:firstLine="540"/>
    </w:pPr>
    <w:rPr>
      <w:rFonts w:eastAsia="楷体_GB2312"/>
      <w:sz w:val="30"/>
      <w:szCs w:val="20"/>
    </w:rPr>
  </w:style>
  <w:style w:type="paragraph" w:styleId="12">
    <w:name w:val="envelope return"/>
    <w:basedOn w:val="1"/>
    <w:autoRedefine/>
    <w:qFormat/>
    <w:uiPriority w:val="0"/>
    <w:pPr>
      <w:snapToGrid w:val="0"/>
    </w:pPr>
    <w:rPr>
      <w:rFonts w:ascii="Arial" w:hAnsi="Arial"/>
    </w:rPr>
  </w:style>
  <w:style w:type="paragraph" w:styleId="13">
    <w:name w:val="Plain Text"/>
    <w:basedOn w:val="1"/>
    <w:autoRedefine/>
    <w:qFormat/>
    <w:uiPriority w:val="0"/>
    <w:rPr>
      <w:rFonts w:hint="eastAsia" w:ascii="宋体" w:hAnsi="Courier New"/>
      <w:szCs w:val="20"/>
    </w:rPr>
  </w:style>
  <w:style w:type="paragraph" w:styleId="14">
    <w:name w:val="Date"/>
    <w:basedOn w:val="1"/>
    <w:next w:val="1"/>
    <w:autoRedefine/>
    <w:qFormat/>
    <w:uiPriority w:val="0"/>
    <w:rPr>
      <w:sz w:val="24"/>
      <w:szCs w:val="20"/>
    </w:rPr>
  </w:style>
  <w:style w:type="paragraph" w:styleId="15">
    <w:name w:val="Balloon Text"/>
    <w:basedOn w:val="1"/>
    <w:link w:val="37"/>
    <w:autoRedefine/>
    <w:qFormat/>
    <w:uiPriority w:val="0"/>
    <w:rPr>
      <w:sz w:val="18"/>
      <w:szCs w:val="18"/>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rFonts w:hint="eastAsia"/>
      <w:sz w:val="18"/>
      <w:szCs w:val="18"/>
    </w:rPr>
  </w:style>
  <w:style w:type="paragraph" w:styleId="17">
    <w:name w:val="toc 1"/>
    <w:basedOn w:val="1"/>
    <w:next w:val="1"/>
    <w:autoRedefine/>
    <w:qFormat/>
    <w:uiPriority w:val="0"/>
    <w:pPr>
      <w:spacing w:line="360" w:lineRule="exact"/>
    </w:pPr>
    <w:rPr>
      <w:rFonts w:ascii="仿宋_GB2312" w:hAnsi="宋体" w:eastAsia="仿宋_GB2312"/>
      <w:b/>
      <w:bCs/>
      <w:sz w:val="28"/>
      <w:szCs w:val="28"/>
    </w:rPr>
  </w:style>
  <w:style w:type="paragraph" w:styleId="18">
    <w:name w:val="Body Text 2"/>
    <w:basedOn w:val="1"/>
    <w:autoRedefine/>
    <w:qFormat/>
    <w:uiPriority w:val="0"/>
    <w:pPr>
      <w:spacing w:after="120" w:line="480" w:lineRule="auto"/>
    </w:pPr>
    <w:rPr>
      <w:rFonts w:eastAsia="MS Gothic"/>
    </w:rPr>
  </w:style>
  <w:style w:type="paragraph" w:styleId="19">
    <w:name w:val="Normal (Web)"/>
    <w:basedOn w:val="1"/>
    <w:autoRedefine/>
    <w:qFormat/>
    <w:uiPriority w:val="0"/>
    <w:pPr>
      <w:widowControl/>
      <w:spacing w:beforeAutospacing="1" w:afterAutospacing="1"/>
      <w:jc w:val="left"/>
    </w:pPr>
    <w:rPr>
      <w:rFonts w:ascii="宋体" w:hAnsi="宋体" w:cs="宋体"/>
      <w:kern w:val="0"/>
      <w:sz w:val="24"/>
    </w:rPr>
  </w:style>
  <w:style w:type="paragraph" w:styleId="20">
    <w:name w:val="Title"/>
    <w:basedOn w:val="1"/>
    <w:next w:val="1"/>
    <w:autoRedefine/>
    <w:qFormat/>
    <w:uiPriority w:val="0"/>
    <w:pPr>
      <w:spacing w:before="240" w:after="60"/>
      <w:jc w:val="center"/>
      <w:outlineLvl w:val="0"/>
    </w:pPr>
    <w:rPr>
      <w:rFonts w:ascii="Cambria" w:hAnsi="Cambria"/>
      <w:b/>
      <w:bCs/>
      <w:sz w:val="32"/>
      <w:szCs w:val="32"/>
    </w:rPr>
  </w:style>
  <w:style w:type="paragraph" w:styleId="21">
    <w:name w:val="Body Text First Indent"/>
    <w:basedOn w:val="10"/>
    <w:autoRedefine/>
    <w:qFormat/>
    <w:uiPriority w:val="0"/>
    <w:pPr>
      <w:ind w:firstLine="420" w:firstLineChars="100"/>
    </w:pPr>
    <w:rPr>
      <w:rFonts w:eastAsia="宋体"/>
      <w:sz w:val="21"/>
      <w:szCs w:val="24"/>
    </w:rPr>
  </w:style>
  <w:style w:type="paragraph" w:styleId="22">
    <w:name w:val="Body Text First Indent 2"/>
    <w:basedOn w:val="11"/>
    <w:next w:val="23"/>
    <w:autoRedefine/>
    <w:qFormat/>
    <w:uiPriority w:val="0"/>
    <w:pPr>
      <w:ind w:firstLine="420" w:firstLineChars="200"/>
    </w:pPr>
  </w:style>
  <w:style w:type="paragraph" w:customStyle="1" w:styleId="23">
    <w:name w:val="正文1"/>
    <w:autoRedefine/>
    <w:qFormat/>
    <w:uiPriority w:val="0"/>
    <w:pPr>
      <w:jc w:val="both"/>
    </w:pPr>
    <w:rPr>
      <w:rFonts w:ascii="Calibri" w:hAnsi="Calibri" w:eastAsia="宋体" w:cs="宋体"/>
      <w:kern w:val="2"/>
      <w:sz w:val="21"/>
      <w:szCs w:val="21"/>
      <w:lang w:val="en-US" w:eastAsia="zh-CN" w:bidi="ar-SA"/>
    </w:rPr>
  </w:style>
  <w:style w:type="table" w:styleId="25">
    <w:name w:val="Table Grid"/>
    <w:basedOn w:val="24"/>
    <w:autoRedefine/>
    <w:qFormat/>
    <w:uiPriority w:val="3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0"/>
  </w:style>
  <w:style w:type="character" w:styleId="28">
    <w:name w:val="page number"/>
    <w:basedOn w:val="26"/>
    <w:autoRedefine/>
    <w:qFormat/>
    <w:uiPriority w:val="0"/>
  </w:style>
  <w:style w:type="character" w:styleId="29">
    <w:name w:val="Emphasis"/>
    <w:basedOn w:val="26"/>
    <w:autoRedefine/>
    <w:qFormat/>
    <w:uiPriority w:val="0"/>
    <w:rPr>
      <w:i/>
    </w:rPr>
  </w:style>
  <w:style w:type="character" w:styleId="30">
    <w:name w:val="Hyperlink"/>
    <w:basedOn w:val="26"/>
    <w:autoRedefine/>
    <w:qFormat/>
    <w:uiPriority w:val="0"/>
    <w:rPr>
      <w:color w:val="333333"/>
      <w:u w:val="none"/>
    </w:rPr>
  </w:style>
  <w:style w:type="character" w:styleId="31">
    <w:name w:val="annotation reference"/>
    <w:basedOn w:val="26"/>
    <w:autoRedefine/>
    <w:unhideWhenUsed/>
    <w:qFormat/>
    <w:uiPriority w:val="0"/>
    <w:rPr>
      <w:sz w:val="21"/>
      <w:szCs w:val="21"/>
    </w:rPr>
  </w:style>
  <w:style w:type="paragraph" w:customStyle="1" w:styleId="32">
    <w:name w:val="Default"/>
    <w:next w:val="14"/>
    <w:autoRedefine/>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33">
    <w:name w:val="_Style 3"/>
    <w:autoRedefine/>
    <w:qFormat/>
    <w:uiPriority w:val="1"/>
    <w:pPr>
      <w:widowControl w:val="0"/>
      <w:jc w:val="both"/>
    </w:pPr>
    <w:rPr>
      <w:rFonts w:ascii="Calibri" w:hAnsi="Calibri" w:eastAsia="宋体" w:cs="Times New Roman"/>
      <w:kern w:val="2"/>
      <w:sz w:val="21"/>
      <w:szCs w:val="22"/>
      <w:lang w:val="en-US" w:eastAsia="zh-CN" w:bidi="ar-SA"/>
    </w:rPr>
  </w:style>
  <w:style w:type="paragraph" w:customStyle="1" w:styleId="34">
    <w:name w:val="List Paragraph"/>
    <w:basedOn w:val="1"/>
    <w:autoRedefine/>
    <w:qFormat/>
    <w:uiPriority w:val="34"/>
    <w:pPr>
      <w:ind w:firstLine="420" w:firstLineChars="200"/>
    </w:pPr>
    <w:rPr>
      <w:szCs w:val="22"/>
    </w:rPr>
  </w:style>
  <w:style w:type="paragraph" w:customStyle="1" w:styleId="35">
    <w:name w:val="正文（首行缩进）"/>
    <w:basedOn w:val="1"/>
    <w:autoRedefine/>
    <w:qFormat/>
    <w:uiPriority w:val="0"/>
    <w:pPr>
      <w:spacing w:line="360" w:lineRule="auto"/>
      <w:ind w:firstLine="200" w:firstLineChars="200"/>
    </w:pPr>
  </w:style>
  <w:style w:type="character" w:customStyle="1" w:styleId="36">
    <w:name w:val="sugg-loading"/>
    <w:basedOn w:val="26"/>
    <w:autoRedefine/>
    <w:qFormat/>
    <w:uiPriority w:val="0"/>
  </w:style>
  <w:style w:type="character" w:customStyle="1" w:styleId="37">
    <w:name w:val="批注框文本 Char"/>
    <w:basedOn w:val="26"/>
    <w:link w:val="15"/>
    <w:autoRedefine/>
    <w:qFormat/>
    <w:uiPriority w:val="0"/>
    <w:rPr>
      <w:kern w:val="2"/>
      <w:sz w:val="18"/>
      <w:szCs w:val="18"/>
    </w:rPr>
  </w:style>
  <w:style w:type="paragraph" w:customStyle="1" w:styleId="38">
    <w:name w:val="Normal_718"/>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9">
    <w:name w:val="列出段落1"/>
    <w:basedOn w:val="38"/>
    <w:autoRedefine/>
    <w:qFormat/>
    <w:uiPriority w:val="34"/>
    <w:pPr>
      <w:ind w:firstLine="420" w:firstLineChars="200"/>
    </w:pPr>
    <w:rPr>
      <w:rFonts w:ascii="Calibri" w:hAnsi="Calibri"/>
      <w:szCs w:val="22"/>
    </w:rPr>
  </w:style>
  <w:style w:type="character" w:customStyle="1" w:styleId="40">
    <w:name w:val="NormalCharacter"/>
    <w:autoRedefine/>
    <w:qFormat/>
    <w:uiPriority w:val="0"/>
    <w:rPr>
      <w:rFonts w:ascii="Calibri" w:hAnsi="Calibri"/>
      <w:kern w:val="2"/>
      <w:sz w:val="21"/>
      <w:szCs w:val="24"/>
      <w:lang w:val="en-US" w:eastAsia="zh-CN" w:bidi="ar-SA"/>
    </w:rPr>
  </w:style>
  <w:style w:type="paragraph" w:customStyle="1" w:styleId="41">
    <w:name w:val="List2"/>
    <w:basedOn w:val="1"/>
    <w:autoRedefine/>
    <w:qFormat/>
    <w:uiPriority w:val="0"/>
    <w:pPr>
      <w:ind w:left="100" w:leftChars="200" w:hanging="200" w:hangingChars="200"/>
      <w:contextualSpacing/>
      <w:textAlignment w:val="baseline"/>
    </w:pPr>
  </w:style>
  <w:style w:type="paragraph" w:customStyle="1" w:styleId="42">
    <w:name w:val="Body text|1"/>
    <w:basedOn w:val="1"/>
    <w:autoRedefine/>
    <w:qFormat/>
    <w:uiPriority w:val="99"/>
    <w:pPr>
      <w:spacing w:line="391" w:lineRule="auto"/>
    </w:pPr>
    <w:rPr>
      <w:rFonts w:ascii="宋体" w:hAnsi="宋体" w:cs="宋体"/>
      <w:sz w:val="26"/>
      <w:szCs w:val="26"/>
    </w:rPr>
  </w:style>
  <w:style w:type="character" w:customStyle="1" w:styleId="43">
    <w:name w:val="font11"/>
    <w:basedOn w:val="26"/>
    <w:autoRedefine/>
    <w:qFormat/>
    <w:uiPriority w:val="0"/>
    <w:rPr>
      <w:rFonts w:ascii="方正仿宋_GBK" w:hAnsi="方正仿宋_GBK" w:eastAsia="方正仿宋_GBK" w:cs="方正仿宋_GBK"/>
      <w:color w:val="000000"/>
      <w:sz w:val="24"/>
      <w:szCs w:val="24"/>
      <w:u w:val="none"/>
    </w:rPr>
  </w:style>
  <w:style w:type="character" w:customStyle="1" w:styleId="44">
    <w:name w:val="font21"/>
    <w:basedOn w:val="26"/>
    <w:autoRedefine/>
    <w:qFormat/>
    <w:uiPriority w:val="0"/>
    <w:rPr>
      <w:rFonts w:hint="default" w:ascii="Times New Roman" w:hAnsi="Times New Roman" w:cs="Times New Roman"/>
      <w:color w:val="000000"/>
      <w:sz w:val="24"/>
      <w:szCs w:val="24"/>
      <w:u w:val="none"/>
    </w:rPr>
  </w:style>
  <w:style w:type="paragraph" w:customStyle="1" w:styleId="45">
    <w:name w:val="!正文"/>
    <w:basedOn w:val="1"/>
    <w:autoRedefine/>
    <w:qFormat/>
    <w:uiPriority w:val="0"/>
    <w:pPr>
      <w:spacing w:line="360" w:lineRule="auto"/>
      <w:ind w:firstLine="200" w:firstLineChars="200"/>
    </w:pPr>
    <w:rPr>
      <w:rFonts w:ascii="宋体" w:hAnsi="宋体"/>
      <w:sz w:val="24"/>
      <w:szCs w:val="28"/>
    </w:rPr>
  </w:style>
  <w:style w:type="paragraph" w:customStyle="1" w:styleId="46">
    <w:name w:val="Table Paragraph"/>
    <w:basedOn w:val="1"/>
    <w:autoRedefine/>
    <w:qFormat/>
    <w:uiPriority w:val="1"/>
  </w:style>
  <w:style w:type="character" w:customStyle="1" w:styleId="47">
    <w:name w:val="font51"/>
    <w:basedOn w:val="26"/>
    <w:autoRedefine/>
    <w:qFormat/>
    <w:uiPriority w:val="0"/>
    <w:rPr>
      <w:rFonts w:hint="eastAsia" w:ascii="宋体" w:hAnsi="宋体" w:eastAsia="宋体" w:cs="宋体"/>
      <w:b/>
      <w:bCs/>
      <w:color w:val="000000"/>
      <w:sz w:val="24"/>
      <w:szCs w:val="24"/>
      <w:u w:val="none"/>
    </w:rPr>
  </w:style>
  <w:style w:type="paragraph" w:customStyle="1" w:styleId="48">
    <w:name w:val="WPSOffice手动目录 1"/>
    <w:autoRedefine/>
    <w:qFormat/>
    <w:uiPriority w:val="0"/>
    <w:pPr>
      <w:ind w:leftChars="0"/>
    </w:pPr>
    <w:rPr>
      <w:rFonts w:ascii="Times New Roman" w:hAnsi="Times New Roman" w:eastAsia="宋体" w:cs="Times New Roman"/>
      <w:sz w:val="20"/>
      <w:szCs w:val="20"/>
    </w:rPr>
  </w:style>
  <w:style w:type="character" w:customStyle="1" w:styleId="49">
    <w:name w:val="font31"/>
    <w:basedOn w:val="26"/>
    <w:autoRedefine/>
    <w:qFormat/>
    <w:uiPriority w:val="0"/>
    <w:rPr>
      <w:rFonts w:hint="default" w:ascii="Times New Roman" w:hAnsi="Times New Roman" w:cs="Times New Roman"/>
      <w:color w:val="000000"/>
      <w:sz w:val="24"/>
      <w:szCs w:val="24"/>
      <w:u w:val="none"/>
      <w:vertAlign w:val="superscript"/>
    </w:rPr>
  </w:style>
  <w:style w:type="character" w:customStyle="1" w:styleId="50">
    <w:name w:val="font41"/>
    <w:basedOn w:val="26"/>
    <w:autoRedefine/>
    <w:qFormat/>
    <w:uiPriority w:val="0"/>
    <w:rPr>
      <w:rFonts w:hint="default" w:ascii="Times New Roman" w:hAnsi="Times New Roman" w:cs="Times New Roman"/>
      <w:color w:val="000000"/>
      <w:sz w:val="24"/>
      <w:szCs w:val="24"/>
      <w:u w:val="none"/>
    </w:rPr>
  </w:style>
  <w:style w:type="paragraph" w:styleId="51">
    <w:name w:val="No Spacing"/>
    <w:autoRedefine/>
    <w:qFormat/>
    <w:uiPriority w:val="1"/>
    <w:pPr>
      <w:widowControl w:val="0"/>
      <w:jc w:val="both"/>
    </w:pPr>
    <w:rPr>
      <w:rFonts w:ascii="等线" w:hAnsi="等线" w:eastAsia="等线"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72</Pages>
  <Words>39666</Words>
  <Characters>41702</Characters>
  <Lines>179</Lines>
  <Paragraphs>50</Paragraphs>
  <TotalTime>0</TotalTime>
  <ScaleCrop>false</ScaleCrop>
  <LinksUpToDate>false</LinksUpToDate>
  <CharactersWithSpaces>43279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2020-09-30T21:46:00Z</dcterms:created>
  <dc:creator>zhihang</dc:creator>
  <cp:lastModifiedBy>111</cp:lastModifiedBy>
  <cp:lastPrinted>2023-08-25T09:33:00Z</cp:lastPrinted>
  <dcterms:modified xsi:type="dcterms:W3CDTF">2024-04-12T08:22:22Z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D5FE388479C043E69E917E59194FDB8F_13</vt:lpwstr>
  </property>
</Properties>
</file>